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0yt0nqymb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Auditoría de la rúbrica Hermnet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rek4gantw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Estado actual estimado por sección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5.2379803604413"/>
        <w:gridCol w:w="630.1085593833669"/>
        <w:gridCol w:w="1092.490379938068"/>
        <w:gridCol w:w="942.8962615233118"/>
        <w:gridCol w:w="3934.7786298184355"/>
        <w:tblGridChange w:id="0">
          <w:tblGrid>
            <w:gridCol w:w="2425.2379803604413"/>
            <w:gridCol w:w="630.1085593833669"/>
            <w:gridCol w:w="1092.490379938068"/>
            <w:gridCol w:w="942.8962615233118"/>
            <w:gridCol w:w="3934.778629818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Pérdida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PGL — Móvil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~1.05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-0.45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Falta tema día/noche y offline mode real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AED — Acceso a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~1.5–2.0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-1.0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 hay JaCoCo configurado, puede no llegar a 98% testing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 —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~1.2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-0.3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Falta documentar Nielsen/ISO 9241 explícitamente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SSG — Gestión empresarial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~0.0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🚨 NO hay ERP/CRM/formularios empresa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EMR — Iniciativa emprendedora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~0.4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Falta Plan económico, marketing,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Green IT (30%)</w:t>
            </w:r>
            <w:r w:rsidDel="00000000" w:rsidR="00000000" w:rsidRPr="00000000">
              <w:rPr>
                <w:rtl w:val="0"/>
              </w:rPr>
              <w:t xml:space="preserve">, ODS, IROs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PGV — Servicios y 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~0.5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🚨 NO hay servicios SOAP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DPL —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~0.0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🚨 NO desplegado con HTTPS ni dominio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~4.65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-5.35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 real de pérdida sin acciones: ~5 puntos</w:t>
      </w:r>
      <w:r w:rsidDel="00000000" w:rsidR="00000000" w:rsidRPr="00000000">
        <w:rPr>
          <w:rtl w:val="0"/>
        </w:rPr>
        <w:t xml:space="preserve">. Es importante.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x83424z5j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Gaps críticos por prioridad de impacto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79v2cgiyd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P1 — DPL: Despliegue (1 punto en juego)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está todo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localhost:8080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Cero puntos de DPL</w:t>
      </w:r>
      <w:r w:rsidDel="00000000" w:rsidR="00000000" w:rsidRPr="00000000">
        <w:rPr>
          <w:rtl w:val="0"/>
        </w:rPr>
        <w:t xml:space="preserve"> si se queda así.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 mínima</w:t>
      </w:r>
      <w:r w:rsidDel="00000000" w:rsidR="00000000" w:rsidRPr="00000000">
        <w:rPr>
          <w:rtl w:val="0"/>
        </w:rPr>
        <w:t xml:space="preserve"> (~3-4 horas):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en </w:t>
      </w:r>
      <w:r w:rsidDel="00000000" w:rsidR="00000000" w:rsidRPr="00000000">
        <w:rPr>
          <w:b w:val="1"/>
          <w:bCs w:val="1"/>
          <w:rtl w:val="0"/>
        </w:rPr>
        <w:t xml:space="preserve">Render / Railway / Fly.io</w:t>
      </w:r>
      <w:r w:rsidDel="00000000" w:rsidR="00000000" w:rsidRPr="00000000">
        <w:rPr>
          <w:rtl w:val="0"/>
        </w:rPr>
        <w:t xml:space="preserve"> (gratuito, dan dominio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*.onrender.com</w:t>
      </w:r>
      <w:r w:rsidDel="00000000" w:rsidR="00000000" w:rsidRPr="00000000">
        <w:rPr>
          <w:rtl w:val="0"/>
        </w:rPr>
        <w:t xml:space="preserve"> o similar y HTTPS automático con CA reconocida = 0.5 puntos).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dominio barato en Namecheap/Freenom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hermnet.app</w:t>
      </w:r>
      <w:r w:rsidDel="00000000" w:rsidR="00000000" w:rsidRPr="00000000">
        <w:rPr>
          <w:rtl w:val="0"/>
        </w:rPr>
        <w:t xml:space="preserve">, ~10 €/año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.tk</w:t>
      </w:r>
      <w:r w:rsidDel="00000000" w:rsidR="00000000" w:rsidRPr="00000000">
        <w:rPr>
          <w:rtl w:val="0"/>
        </w:rPr>
        <w:t xml:space="preserve"> gratis = 0.25 puntos).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Apuntar el dominio al backend deployado.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Ganancia: +1.0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srfyoh0rr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P2 — SSG: ERP/CRM (1 punto en juego)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Hermnet no encaja por naturaleza, pero se puede forzar la integración: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Opción A — CRM Odoo (open source, autohospedable, gratis)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Odoo tiene módulo CRM que gestiona "leads" y "contactos".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panel admin de Hermnet, sincronizar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(HNET-IDs registrados, fecha alta, push token) → Odoo CRM.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Generar informes Odoo (usuarios activos por mes, etc.) → </w:t>
      </w:r>
      <w:r w:rsidDel="00000000" w:rsidR="00000000" w:rsidRPr="00000000">
        <w:rPr>
          <w:b w:val="1"/>
          <w:bCs w:val="1"/>
          <w:rtl w:val="0"/>
        </w:rPr>
        <w:t xml:space="preserve">formularios y/o informes</w:t>
      </w:r>
      <w:r w:rsidDel="00000000" w:rsidR="00000000" w:rsidRPr="00000000">
        <w:rPr>
          <w:rtl w:val="0"/>
        </w:rPr>
        <w:t xml:space="preserve"> (otros 0.25).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Opción B — Plugin propio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Desarrollar un módulo Odoo que reciba alertas del backend (registros, mensajes enviados) → </w:t>
      </w:r>
      <w:r w:rsidDel="00000000" w:rsidR="00000000" w:rsidRPr="00000000">
        <w:rPr>
          <w:b w:val="1"/>
          <w:bCs w:val="1"/>
          <w:rtl w:val="0"/>
        </w:rPr>
        <w:t xml:space="preserve">componentes propios</w:t>
      </w:r>
      <w:r w:rsidDel="00000000" w:rsidR="00000000" w:rsidRPr="00000000">
        <w:rPr>
          <w:rtl w:val="0"/>
        </w:rPr>
        <w:t xml:space="preserve"> (0.25).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 realista</w:t>
      </w:r>
      <w:r w:rsidDel="00000000" w:rsidR="00000000" w:rsidRPr="00000000">
        <w:rPr>
          <w:rtl w:val="0"/>
        </w:rPr>
        <w:t xml:space="preserve"> (~6-8 horas):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Levantar Odoo en Docker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 extra).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backend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/api/admin/users</w:t>
      </w:r>
      <w:r w:rsidDel="00000000" w:rsidR="00000000" w:rsidRPr="00000000">
        <w:rPr>
          <w:rtl w:val="0"/>
        </w:rPr>
        <w:t xml:space="preserve"> (auth admin) que lista usuarios.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Cron-job en Odoo que importa via XML-RPC (la API estándar de Odoo).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Informe: "Usuarios registrados por semana".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Ganancia: hasta +1.0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pp1w7jafx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P3 — PGV: Servicios SOAP (0.25-1.0 puntos en juego)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Spring 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spring-ws</w:t>
      </w:r>
      <w:r w:rsidDel="00000000" w:rsidR="00000000" w:rsidRPr="00000000">
        <w:rPr>
          <w:rtl w:val="0"/>
        </w:rPr>
        <w:t xml:space="preserve"> que añade SOAP encima del REST existente. Para 4+ servicios CRUD hay que envolver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MessageController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@Endpoint</w:t>
      </w:r>
      <w:r w:rsidDel="00000000" w:rsidR="00000000" w:rsidRPr="00000000">
        <w:rPr>
          <w:rtl w:val="0"/>
        </w:rPr>
        <w:t xml:space="preserve"> con XSDs.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</w:t>
      </w:r>
      <w:r w:rsidDel="00000000" w:rsidR="00000000" w:rsidRPr="00000000">
        <w:rPr>
          <w:rtl w:val="0"/>
        </w:rPr>
        <w:t xml:space="preserve"> (~4 horas): añadir 4-5 endpoints SOAP que repliquen sendMessage, getMessages, register, login, logout.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Ganancia: +0.75 puntos</w:t>
      </w:r>
      <w:r w:rsidDel="00000000" w:rsidR="00000000" w:rsidRPr="00000000">
        <w:rPr>
          <w:rtl w:val="0"/>
        </w:rPr>
        <w:t xml:space="preserve"> (de 0.25 que ya tenemos potencialmente a 1.0).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11f6ye5mm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P4 — EMR: Plan empresa + Green IT + ODS + IROs (~0.6 puntos)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 esto está hecho como documento. Son ~10 horas de redacción que </w:t>
      </w:r>
      <w:r w:rsidDel="00000000" w:rsidR="00000000" w:rsidRPr="00000000">
        <w:rPr>
          <w:b w:val="1"/>
          <w:bCs w:val="1"/>
          <w:rtl w:val="0"/>
        </w:rPr>
        <w:t xml:space="preserve">te garantizan 0.4-0.6 puntos</w:t>
      </w:r>
      <w:r w:rsidDel="00000000" w:rsidR="00000000" w:rsidRPr="00000000">
        <w:rPr>
          <w:rtl w:val="0"/>
        </w:rPr>
        <w:t xml:space="preserve">. Más abajo te lo dejo arrancado.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371brbjce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P5 — PGL: Tema día/noche + Offline real (0.225 puntos)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día/noche</w:t>
      </w:r>
      <w:r w:rsidDel="00000000" w:rsidR="00000000" w:rsidRPr="00000000">
        <w:rPr>
          <w:rtl w:val="0"/>
        </w:rPr>
        <w:t xml:space="preserve"> (~2h): añadir un theme provider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useColorScheme</w:t>
      </w:r>
      <w:r w:rsidDel="00000000" w:rsidR="00000000" w:rsidRPr="00000000">
        <w:rPr>
          <w:rtl w:val="0"/>
        </w:rPr>
        <w:t xml:space="preserve"> y un toggle manual en SettingsScreen. Hacer todas las pantallas reactivas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isDarkMode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real</w:t>
      </w:r>
      <w:r w:rsidDel="00000000" w:rsidR="00000000" w:rsidRPr="00000000">
        <w:rPr>
          <w:rtl w:val="0"/>
        </w:rPr>
        <w:t xml:space="preserve"> (~3h): activar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sync_queue</w:t>
      </w:r>
      <w:r w:rsidDel="00000000" w:rsidR="00000000" w:rsidRPr="00000000">
        <w:rPr>
          <w:rtl w:val="0"/>
        </w:rPr>
        <w:t xml:space="preserve"> para mensajes enviados sin conexión. Cuando vuelva la red, drenar la cola.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Ganancia: +0.225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63iyuhtri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P6 — AED: Cobertura testing (0.5 puntos)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22 tests backend pero </w:t>
      </w:r>
      <w:r w:rsidDel="00000000" w:rsidR="00000000" w:rsidRPr="00000000">
        <w:rPr>
          <w:b w:val="1"/>
          <w:bCs w:val="1"/>
          <w:rtl w:val="0"/>
        </w:rPr>
        <w:t xml:space="preserve">no hay JaCoCo configurado</w:t>
      </w:r>
      <w:r w:rsidDel="00000000" w:rsidR="00000000" w:rsidRPr="00000000">
        <w:rPr>
          <w:rtl w:val="0"/>
        </w:rPr>
        <w:t xml:space="preserve">. Sin medirlo no se puede demostrar el 98%.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</w:t>
      </w:r>
      <w:r w:rsidDel="00000000" w:rsidR="00000000" w:rsidRPr="00000000">
        <w:rPr>
          <w:rtl w:val="0"/>
        </w:rPr>
        <w:t xml:space="preserve"> (~2h):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Añadir plugin JaCoCo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reporte de cobertura.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&lt;98%, escribir tests adicionales para subir.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66ej7yhk2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P7 — DAD: Documentar accesibilidad y heurísticas (0.3 puntos)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Tienes accesibilidad implementada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AccessibilityContext</w:t>
      </w:r>
      <w:r w:rsidDel="00000000" w:rsidR="00000000" w:rsidRPr="00000000">
        <w:rPr>
          <w:rtl w:val="0"/>
        </w:rPr>
        <w:t xml:space="preserve">, fontScale, highContrast) pero no documentada. 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docs/technical/usabilidad_accesibilidad.md</w:t>
      </w:r>
      <w:r w:rsidDel="00000000" w:rsidR="00000000" w:rsidRPr="00000000">
        <w:rPr>
          <w:rtl w:val="0"/>
        </w:rPr>
        <w:t xml:space="preserve"> con mapeo de cada heurística de Nielsen a una pantalla concreta + cumplimiento ISO 9241 punto a punto.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vt3l5yu9l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Plan de acción ordenado (~30h totales para máxima nota)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Día 1 (8h):  Deploy en Render/Railway con dominio + HTTPS  → +1.0  (DPL)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Día 2 (8h):  Odoo en Docker + endpoint /admin + informe    → +1.0  (SSG)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Día 3 (4h):  4 endpoints SOAP                              → +0.75 (PGV)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Día 4 (3h):  JaCoCo + tests adicionales si falta           → +0.5  (AED)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Día 5 (5h):  Plan económico + Marketing + Green IT (memoria) → +0.6  (EMR)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Día 6 (2h):  Tema día/noche                                → +0.1  (PGL)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Día 6 (3h):  Offline mode con sync_queue                   → +0.125(PGL)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Día 7 (2h):  Doc Nielsen/ISO 9241                          → +0.3  (DAD)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─────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      ≈ 4.4 puntos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Pasaríamos de ~4.65 a </w:t>
      </w:r>
      <w:r w:rsidDel="00000000" w:rsidR="00000000" w:rsidRPr="00000000">
        <w:rPr>
          <w:b w:val="1"/>
          <w:bCs w:val="1"/>
          <w:rtl w:val="0"/>
        </w:rPr>
        <w:t xml:space="preserve">~9.0</w:t>
      </w:r>
      <w:r w:rsidDel="00000000" w:rsidR="00000000" w:rsidRPr="00000000">
        <w:rPr>
          <w:rtl w:val="0"/>
        </w:rPr>
        <w:t xml:space="preserve"> sin tocar el código existente — solo añadiendo.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fpe3dvpcp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ODS (Objetivos de Desarrollo Sostenible) alineados con Hermnet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ohs9u05fi7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ODS 16 — Paz, justicia e instituciones sólidas ⭐ (alineación principal)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16.10</w:t>
      </w:r>
      <w:r w:rsidDel="00000000" w:rsidR="00000000" w:rsidRPr="00000000">
        <w:rPr>
          <w:rtl w:val="0"/>
        </w:rPr>
        <w:t xml:space="preserve">: «Garantizar el acceso público a la información y proteger las libertades fundamentales».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 Hermnet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comunicaciones cifradas extremo a extremo son una </w:t>
      </w:r>
      <w:r w:rsidDel="00000000" w:rsidR="00000000" w:rsidRPr="00000000">
        <w:rPr>
          <w:b w:val="1"/>
          <w:bCs w:val="1"/>
          <w:rtl w:val="0"/>
        </w:rPr>
        <w:t xml:space="preserve">infraestructura para el ejercicio de la libertad de expresión</w:t>
      </w:r>
      <w:r w:rsidDel="00000000" w:rsidR="00000000" w:rsidRPr="00000000">
        <w:rPr>
          <w:rtl w:val="0"/>
        </w:rPr>
        <w:t xml:space="preserve">, especialmente en regímenes autoritarios.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Hermnet protege a periodistas, activistas, abogados de derechos humanos y denunciantes (whistleblowers) frente a vigilancia masiva.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documentados: Reporters Without Borders defiende el cifrado E2E como derecho profesional. La ONU lo reconoce explícitamente como herramienta para defensores de DDHH (Informe A/HRC/29/32 del Relator Especial sobre Libertad de Expresión, 2015).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x49je86gx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ODS 9 — Industria, innovación e infraestructura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9.5</w:t>
      </w:r>
      <w:r w:rsidDel="00000000" w:rsidR="00000000" w:rsidRPr="00000000">
        <w:rPr>
          <w:rtl w:val="0"/>
        </w:rPr>
        <w:t xml:space="preserve">: «Aumentar la investigación científica y mejorar la capacidad tecnológica».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 Hermnet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práctica de </w:t>
      </w:r>
      <w:r w:rsidDel="00000000" w:rsidR="00000000" w:rsidRPr="00000000">
        <w:rPr>
          <w:b w:val="1"/>
          <w:bCs w:val="1"/>
          <w:rtl w:val="0"/>
        </w:rPr>
        <w:t xml:space="preserve">criptografía moderna</w:t>
      </w:r>
      <w:r w:rsidDel="00000000" w:rsidR="00000000" w:rsidRPr="00000000">
        <w:rPr>
          <w:rtl w:val="0"/>
        </w:rPr>
        <w:t xml:space="preserve"> (RSA-OAEP-SHA256, AES-256-GCM, cifrado híbrido) sobre stack actual (Spring Boot, React Native).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</w:t>
      </w:r>
      <w:r w:rsidDel="00000000" w:rsidR="00000000" w:rsidRPr="00000000">
        <w:rPr>
          <w:b w:val="1"/>
          <w:bCs w:val="1"/>
          <w:rtl w:val="0"/>
        </w:rPr>
        <w:t xml:space="preserve">zero-knowledge</w:t>
      </w:r>
      <w:r w:rsidDel="00000000" w:rsidR="00000000" w:rsidRPr="00000000">
        <w:rPr>
          <w:rtl w:val="0"/>
        </w:rPr>
        <w:t xml:space="preserve"> verificable — el servidor demostrablemente no puede leer el contenido.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Demuestra que la </w:t>
      </w:r>
      <w:r w:rsidDel="00000000" w:rsidR="00000000" w:rsidRPr="00000000">
        <w:rPr>
          <w:b w:val="1"/>
          <w:bCs w:val="1"/>
          <w:rtl w:val="0"/>
        </w:rPr>
        <w:t xml:space="preserve">privacidad técnica es accesible</w:t>
      </w:r>
      <w:r w:rsidDel="00000000" w:rsidR="00000000" w:rsidRPr="00000000">
        <w:rPr>
          <w:rtl w:val="0"/>
        </w:rPr>
        <w:t xml:space="preserve"> (no solo para empresas grandes con recursos).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on62qks9t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ODS 5 — Igualdad de género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5.2</w:t>
      </w:r>
      <w:r w:rsidDel="00000000" w:rsidR="00000000" w:rsidRPr="00000000">
        <w:rPr>
          <w:rtl w:val="0"/>
        </w:rPr>
        <w:t xml:space="preserve">: «Eliminar todas las formas de violencia contra las mujeres y las niñas».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 Hermnet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víctimas de violencia de género</w:t>
      </w:r>
      <w:r w:rsidDel="00000000" w:rsidR="00000000" w:rsidRPr="00000000">
        <w:rPr>
          <w:rtl w:val="0"/>
        </w:rPr>
        <w:t xml:space="preserve"> dependen de comunicaciones seguras para coordinar su salida (refugios, abogados, familiares) sin que el agresor pueda interceptar.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Estudios del Refuge (Reino Unido) muestran que el 72% de víctimas sufren stalkerware en sus dispositivos. Una app con identidad sin teléfono ni email (como Hermnet) reduce el rastro.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identificador HNET-XXXX no es vinculable a un número personal → mayor seguridad para colectivos en riesgo.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u27vhebzr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ODS 10 — Reducción de las desigualdades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10.2</w:t>
      </w:r>
      <w:r w:rsidDel="00000000" w:rsidR="00000000" w:rsidRPr="00000000">
        <w:rPr>
          <w:rtl w:val="0"/>
        </w:rPr>
        <w:t xml:space="preserve">: «Promover la inclusión digital de todas las personas».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 Hermnet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Históricamente, la privacidad digital de calidad estaba reservada a quienes podían </w:t>
      </w:r>
      <w:r w:rsidDel="00000000" w:rsidR="00000000" w:rsidRPr="00000000">
        <w:rPr>
          <w:b w:val="1"/>
          <w:bCs w:val="1"/>
          <w:rtl w:val="0"/>
        </w:rPr>
        <w:t xml:space="preserve">pagar VPNs corporativas o servicios premium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Hermnet es </w:t>
      </w:r>
      <w:r w:rsidDel="00000000" w:rsidR="00000000" w:rsidRPr="00000000">
        <w:rPr>
          <w:b w:val="1"/>
          <w:bCs w:val="1"/>
          <w:rtl w:val="0"/>
        </w:rPr>
        <w:t xml:space="preserve">software libre, gratuito, sin perfil personal</w:t>
      </w:r>
      <w:r w:rsidDel="00000000" w:rsidR="00000000" w:rsidRPr="00000000">
        <w:rPr>
          <w:rtl w:val="0"/>
        </w:rPr>
        <w:t xml:space="preserve">. Reduce la brecha entre élites tecnológicas y ciudadanos comunes en cuanto a acceso a privacidad.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k5o8xed9a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ODS 12 — Producción y consumo responsables (Privacy by Design)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12.5 / 12.8</w:t>
      </w:r>
      <w:r w:rsidDel="00000000" w:rsidR="00000000" w:rsidRPr="00000000">
        <w:rPr>
          <w:rtl w:val="0"/>
        </w:rPr>
        <w:t xml:space="preserve">: «Reducir generación de desechos» / «Asegurar que las personas tengan información pertinente sobre sostenibilidad».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 Hermnet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Minimización de datos por diseño</w:t>
      </w:r>
      <w:r w:rsidDel="00000000" w:rsidR="00000000" w:rsidRPr="00000000">
        <w:rPr>
          <w:rtl w:val="0"/>
        </w:rPr>
        <w:t xml:space="preserve"> (RGPD art. 5.1.c): solo se almacena lo estrictamente necesario.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Retención mínima</w:t>
      </w:r>
      <w:r w:rsidDel="00000000" w:rsidR="00000000" w:rsidRPr="00000000">
        <w:rPr>
          <w:rtl w:val="0"/>
        </w:rPr>
        <w:t xml:space="preserve">: el servidor purga el buzón tras la entrega. No hay backups silenciosos.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Consentimiento explícito</w:t>
      </w:r>
      <w:r w:rsidDel="00000000" w:rsidR="00000000" w:rsidRPr="00000000">
        <w:rPr>
          <w:rtl w:val="0"/>
        </w:rPr>
        <w:t xml:space="preserve">: el usuario controla el 100% de sus datos en su SQLite local.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unbqepw3a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ODS 13 — Acción por el clima (Green IT)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13.2</w:t>
      </w:r>
      <w:r w:rsidDel="00000000" w:rsidR="00000000" w:rsidRPr="00000000">
        <w:rPr>
          <w:rtl w:val="0"/>
        </w:rPr>
        <w:t xml:space="preserve">: «Incorporar medidas de mitigación del cambio climático».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 Hermnet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Payloads pequeños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(~800 B por mensaje, antes 16 KB con esteganografía → reducción del 95% en tráfico de red por mensaje).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almacenamiento perpetuo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servidor → menos uso de discos en datacenters.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Polling adaptativo opcional</w:t>
      </w:r>
      <w:r w:rsidDel="00000000" w:rsidR="00000000" w:rsidRPr="00000000">
        <w:rPr>
          <w:rtl w:val="0"/>
        </w:rPr>
        <w:t xml:space="preserve">: documentado el trade-off entre latencia y consumo.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producción se elegiría </w:t>
      </w:r>
      <w:r w:rsidDel="00000000" w:rsidR="00000000" w:rsidRPr="00000000">
        <w:rPr>
          <w:b w:val="1"/>
          <w:bCs w:val="1"/>
          <w:rtl w:val="0"/>
        </w:rPr>
        <w:t xml:space="preserve">infraestructura cloud con compromiso 100% renovable</w:t>
      </w:r>
      <w:r w:rsidDel="00000000" w:rsidR="00000000" w:rsidRPr="00000000">
        <w:rPr>
          <w:rtl w:val="0"/>
        </w:rPr>
        <w:t xml:space="preserve"> (Render usa AWS us-west-2 con energía neutra en carbono; Hetzner DE con 100% renovables; Fly.io renovable parcial).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la defensa: priorizar </w:t>
      </w:r>
      <w:r w:rsidDel="00000000" w:rsidR="00000000" w:rsidRPr="00000000">
        <w:rPr>
          <w:b w:val="1"/>
          <w:bCs w:val="1"/>
          <w:rtl w:val="0"/>
        </w:rPr>
        <w:t xml:space="preserve">ODS 16 (alineación principal)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ODS 5 (impacto social concreto)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ODS 13 (Green IT vale 30% del EMR)</w:t>
      </w:r>
      <w:r w:rsidDel="00000000" w:rsidR="00000000" w:rsidRPr="00000000">
        <w:rPr>
          <w:rtl w:val="0"/>
        </w:rPr>
        <w:t xml:space="preserve">. Los otros tres son refuerzo.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zv5vrglwh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Análisis de IROs (Impactos, Riesgos, Oportunidades) con materialidad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Metodología</w:t>
      </w:r>
      <w:r w:rsidDel="00000000" w:rsidR="00000000" w:rsidRPr="00000000">
        <w:rPr>
          <w:rtl w:val="0"/>
        </w:rPr>
        <w:t xml:space="preserve">: matriz de doble materialidad (CSRD-aligned), valorando cada IRO en dos ejes: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Probabilidad (P)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 (raro) → 5 (casi seguro)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Magnitud (M)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 (insignificante) → 5 (muy alta)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: P × M (rango 1–25)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Material si Score ≥ 12</w:t>
      </w:r>
      <w:r w:rsidDel="00000000" w:rsidR="00000000" w:rsidRPr="00000000">
        <w:rPr>
          <w:rtl w:val="0"/>
        </w:rPr>
        <w:t xml:space="preserve"> (umbral del 50% del máximo, criterio EFRAG ESRS)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hnacz879s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IRO 1 — IMPACTO POSITIVO: Protección de comunicaciones de colectivos vulnerables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.488532927144"/>
        <w:gridCol w:w="1652.0957657203928"/>
        <w:gridCol w:w="6002.927512376086"/>
        <w:tblGridChange w:id="0">
          <w:tblGrid>
            <w:gridCol w:w="1370.488532927144"/>
            <w:gridCol w:w="1652.0957657203928"/>
            <w:gridCol w:w="6002.92751237608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Impacto positivo (Social)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Vinculado a ODS 5, 10, 16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Probabilidad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Si la app se distribuye, el uso por colectivos vulnerables es prácticamente seguro (existe demanda demostrada, casos Signal).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Magnitud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Puede ser literalmente vital para periodistas, mujeres víctimas, denunciantes.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</w:tbl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documentar casos de uso, publicar en directorios de Privacy Tools, alianzas con ONGs (Reporters Without Borders, Amnistía Internacional Tech).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1u30rzuit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IRO 2 — RIESGO: Uso indebido para actividades ilegales (dual-use)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.488532927144"/>
        <w:gridCol w:w="2412.4352942621645"/>
        <w:gridCol w:w="5242.587983834314"/>
        <w:tblGridChange w:id="0">
          <w:tblGrid>
            <w:gridCol w:w="1370.488532927144"/>
            <w:gridCol w:w="2412.4352942621645"/>
            <w:gridCol w:w="5242.5879838343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Riesgo (Legal/Reputacional)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Toda herramienta de cifrado fuerte es de doble uso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Probabilidad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4/5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Cualquier app de mensajería cifrada conocida (Signal, Telegram) ha sido usada para ello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Magnitud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4/5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Posibles requerimientos judiciales, debate público sobre "puertas traseras", riesgo regulatorio (Chat Control UE)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Términos y condiciones</w:t>
      </w:r>
      <w:r w:rsidDel="00000000" w:rsidR="00000000" w:rsidRPr="00000000">
        <w:rPr>
          <w:rtl w:val="0"/>
        </w:rPr>
        <w:t xml:space="preserve"> que prohíben usos ilegales.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Imposibilidad técnica</w:t>
      </w:r>
      <w:r w:rsidDel="00000000" w:rsidR="00000000" w:rsidRPr="00000000">
        <w:rPr>
          <w:rtl w:val="0"/>
        </w:rPr>
        <w:t xml:space="preserve"> de cooperar con autoridades incluso con orden judicial (zero-knowledge): no podemos entregar lo que no tenemos.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pública del modelo de amenazas.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con abogado especializado en TIC.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voczcgyw8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IRO 3 — OPORTUNIDAD: Mercado en expansión por presión regulatoria europea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.488532927144"/>
        <w:gridCol w:w="2933.408674929675"/>
        <w:gridCol w:w="4721.614603166805"/>
        <w:tblGridChange w:id="0">
          <w:tblGrid>
            <w:gridCol w:w="1370.488532927144"/>
            <w:gridCol w:w="2933.408674929675"/>
            <w:gridCol w:w="4721.614603166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Oportunidad (Económica/Estratégica)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Vinculado a RGPD y AI Act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Probabilidad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Tendencia regulatoria firme: RGPD vigente, NIS2 en transposición, AI Act 2024, Digital Markets Act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Magnitud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4/5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Mercado europeo de privacidad estimado en €50 B / año (Statista 2024)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</w:tbl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Acción</w:t>
      </w:r>
      <w:r w:rsidDel="00000000" w:rsidR="00000000" w:rsidRPr="00000000">
        <w:rPr>
          <w:rtl w:val="0"/>
        </w:rPr>
        <w:t xml:space="preserve">: posicionar Hermnet como </w:t>
      </w:r>
      <w:r w:rsidDel="00000000" w:rsidR="00000000" w:rsidRPr="00000000">
        <w:rPr>
          <w:b w:val="1"/>
          <w:bCs w:val="1"/>
          <w:rtl w:val="0"/>
        </w:rPr>
        <w:t xml:space="preserve">"GDPR-native"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"sovereign EU stack"</w:t>
      </w:r>
      <w:r w:rsidDel="00000000" w:rsidR="00000000" w:rsidRPr="00000000">
        <w:rPr>
          <w:rtl w:val="0"/>
        </w:rPr>
        <w:t xml:space="preserve"> (servidor en Hetzner DE/FR, sin transferencias a EE.UU., sin third-parties).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wsg8l34lu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IRO 4 — RIESGO: Vulnerabilidad criptográfica futura (computación cuántica)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8.353815586136"/>
        <w:gridCol w:w="2352.443888439179"/>
        <w:gridCol w:w="5304.714106998308"/>
        <w:tblGridChange w:id="0">
          <w:tblGrid>
            <w:gridCol w:w="1368.353815586136"/>
            <w:gridCol w:w="2352.443888439179"/>
            <w:gridCol w:w="5304.71410699830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Riesgo (Tecnológico, largo plazo)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RSA-2048 vulnerable al algoritmo de Shor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Probabilidad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2/5 a 10 años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NIST estima ordenador cuántico criptoanalítico relevante 2030-2040 (CNSA 2.0 publicado 2022)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Magnitud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Compromete TODO el historial cifrado retroactivamente ("harvest now, decrypt later")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 EN HORIZONTE 5-10 AÑOS</w:t>
            </w:r>
            <w:r w:rsidDel="00000000" w:rsidR="00000000" w:rsidRPr="00000000">
              <w:rPr>
                <w:rtl w:val="0"/>
              </w:rPr>
              <w:t xml:space="preserve"> ⚠️</w:t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Roadmap de migración a </w:t>
      </w:r>
      <w:r w:rsidDel="00000000" w:rsidR="00000000" w:rsidRPr="00000000">
        <w:rPr>
          <w:b w:val="1"/>
          <w:bCs w:val="1"/>
          <w:rtl w:val="0"/>
        </w:rPr>
        <w:t xml:space="preserve">post-cuántico</w:t>
      </w:r>
      <w:r w:rsidDel="00000000" w:rsidR="00000000" w:rsidRPr="00000000">
        <w:rPr>
          <w:rtl w:val="0"/>
        </w:rPr>
        <w:t xml:space="preserve">: NIST estandarizó CRYSTALS-Kyber (KEM) y CRYSTALS-Dilithium (firmas) en 2024.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medio plazo: cifrado </w:t>
      </w:r>
      <w:r w:rsidDel="00000000" w:rsidR="00000000" w:rsidRPr="00000000">
        <w:rPr>
          <w:b w:val="1"/>
          <w:bCs w:val="1"/>
          <w:rtl w:val="0"/>
        </w:rPr>
        <w:t xml:space="preserve">híbrido clásico + post-cuántico</w:t>
      </w:r>
      <w:r w:rsidDel="00000000" w:rsidR="00000000" w:rsidRPr="00000000">
        <w:rPr>
          <w:rtl w:val="0"/>
        </w:rPr>
        <w:t xml:space="preserve"> (como hace Signal con PQXDH).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en memoria como deuda técnica conocida.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l0u9kigen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IRO 5 — IMPACTO AMBIENTAL POSITIVO: Eficiencia y minimización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.488532927144"/>
        <w:gridCol w:w="2595.479995577776"/>
        <w:gridCol w:w="5059.543282518704"/>
        <w:tblGridChange w:id="0">
          <w:tblGrid>
            <w:gridCol w:w="1370.488532927144"/>
            <w:gridCol w:w="2595.479995577776"/>
            <w:gridCol w:w="5059.5432825187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Impacto positivo (Ambiental, Green 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Vinculado a ODS 13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Probabilidad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Las medidas ya están implementadas (payloads 800 B, sin imágenes, retención mínima)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Magnitud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Magnitud absoluta baja (no es una megaplataforma), pero el modelo es replicable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 DE FORMA EJEMPLAR / EDUCATIVA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Detalle cuantitativo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Antes (con stego): 16 KB por mensaje + cover image en BD → ~16,5 KB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Ahora: 800 B (payload) + 100 B (overhead JSON) → ~0,9 KB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Reducción: 95% del tráfico de red por mensaje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Estimación: 1M usuarios × 50 mensajes/día = ahorro de </w:t>
      </w:r>
      <w:r w:rsidDel="00000000" w:rsidR="00000000" w:rsidRPr="00000000">
        <w:rPr>
          <w:b w:val="1"/>
          <w:bCs w:val="1"/>
          <w:rtl w:val="0"/>
        </w:rPr>
        <w:t xml:space="preserve">~750 GB/día</w:t>
      </w:r>
      <w:r w:rsidDel="00000000" w:rsidR="00000000" w:rsidRPr="00000000">
        <w:rPr>
          <w:rtl w:val="0"/>
        </w:rPr>
        <w:t xml:space="preserve"> vs diseño anterior.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Impacto en CO₂eq: ~0.06 g CO₂/MB transferido (Andrae &amp; Edler, 2015) → </w:t>
      </w:r>
      <w:r w:rsidDel="00000000" w:rsidR="00000000" w:rsidRPr="00000000">
        <w:rPr>
          <w:b w:val="1"/>
          <w:bCs w:val="1"/>
          <w:rtl w:val="0"/>
        </w:rPr>
        <w:t xml:space="preserve">45 kg CO₂eq/día evitados</w:t>
      </w:r>
      <w:r w:rsidDel="00000000" w:rsidR="00000000" w:rsidRPr="00000000">
        <w:rPr>
          <w:rtl w:val="0"/>
        </w:rPr>
        <w:t xml:space="preserve"> a esa escala.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kfirdc089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— IRO 6: RIESGO de fuga de metadatos vía push notifications (FCM)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.488532927144"/>
        <w:gridCol w:w="2229.3905929465527"/>
        <w:gridCol w:w="5425.632685149926"/>
        <w:tblGridChange w:id="0">
          <w:tblGrid>
            <w:gridCol w:w="1370.488532927144"/>
            <w:gridCol w:w="2229.3905929465527"/>
            <w:gridCol w:w="5425.6326851499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Riesgo (Privacidad técnica)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Solo si se activa FCM (decisión pendiente)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Probabilidad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5/5 (si se activa) / 0 (si 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Determinista según decisión de diseño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Magnitud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3/5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Google ve metadatos de delivery (no contenido), construyendo grafo social potencial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15/25 (condicional)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 si se activa FCM</w:t>
            </w:r>
            <w:r w:rsidDel="00000000" w:rsidR="00000000" w:rsidRPr="00000000">
              <w:rPr>
                <w:rtl w:val="0"/>
              </w:rPr>
              <w:t xml:space="preserve"> ⚠️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Decisión documentada</w:t>
      </w:r>
      <w:r w:rsidDel="00000000" w:rsidR="00000000" w:rsidRPr="00000000">
        <w:rPr>
          <w:rtl w:val="0"/>
        </w:rPr>
        <w:t xml:space="preserve">: actualmente Hermnet usa </w:t>
      </w:r>
      <w:r w:rsidDel="00000000" w:rsidR="00000000" w:rsidRPr="00000000">
        <w:rPr>
          <w:b w:val="1"/>
          <w:bCs w:val="1"/>
          <w:rtl w:val="0"/>
        </w:rPr>
        <w:t xml:space="preserve">polling</w:t>
      </w:r>
      <w:r w:rsidDel="00000000" w:rsidR="00000000" w:rsidRPr="00000000">
        <w:rPr>
          <w:rtl w:val="0"/>
        </w:rPr>
        <w:t xml:space="preserve"> en lugar de FCM, asumiendo el coste de latencia (1-3s) a cambio de privacidad total respecto a Google. Trade-off explícito en docs/anteproyecto.md.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azm932zbe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Matriz visual de IROs (para incluir en memoria)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Magnitud →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1    2    3    4    5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 5  │              IRO3│IRO1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r    │              ★   ★★★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o 4  │         IRO2★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 3  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 2  │              IRO4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 1  │ IRO5★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(★ = material)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fnwrki5j9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Resumen de qué dejarle a tu compañero / qué hacer tú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.194209343177"/>
        <w:gridCol w:w="3595.185671993809"/>
        <w:gridCol w:w="3060.131929686637"/>
        <w:tblGridChange w:id="0">
          <w:tblGrid>
            <w:gridCol w:w="2370.194209343177"/>
            <w:gridCol w:w="3595.185671993809"/>
            <w:gridCol w:w="3060.1319296866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Tú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Deploy backend + dominio 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Tema día/noche + offline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Compañero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Plan económico +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Conjunto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Memoria EMR (Green IT, ODS, IROs)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1 día — te lo he arrancado arriba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Quien sepa más 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Servicios SOAP + JaCoCo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Quien sepa más 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Odoo en Docker + integración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1-2 días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Conjunto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Documentar Nielsen/ISO 9241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medio día</w:t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te genero ahora mismo: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(A) </w:t>
      </w:r>
      <w:r w:rsidDel="00000000" w:rsidR="00000000" w:rsidRPr="00000000">
        <w:rPr>
          <w:b w:val="1"/>
          <w:bCs w:val="1"/>
          <w:rtl w:val="0"/>
        </w:rPr>
        <w:t xml:space="preserve">Documento Markdown completo de "Sostenibilidad Ambiental + ODS + IROs"</w:t>
      </w:r>
      <w:r w:rsidDel="00000000" w:rsidR="00000000" w:rsidRPr="00000000">
        <w:rPr>
          <w:rtl w:val="0"/>
        </w:rPr>
        <w:t xml:space="preserve"> para incluir directamente en la memoria del TFG.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(B) </w:t>
      </w:r>
      <w:r w:rsidDel="00000000" w:rsidR="00000000" w:rsidRPr="00000000">
        <w:rPr>
          <w:b w:val="1"/>
          <w:bCs w:val="1"/>
          <w:rtl w:val="0"/>
        </w:rPr>
        <w:t xml:space="preserve">Plan Odoo + integración</w:t>
      </w:r>
      <w:r w:rsidDel="00000000" w:rsidR="00000000" w:rsidRPr="00000000">
        <w:rPr>
          <w:rtl w:val="0"/>
        </w:rPr>
        <w:t xml:space="preserve"> paso a paso.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(C) </w:t>
      </w:r>
      <w:r w:rsidDel="00000000" w:rsidR="00000000" w:rsidRPr="00000000">
        <w:rPr>
          <w:b w:val="1"/>
          <w:bCs w:val="1"/>
          <w:rtl w:val="0"/>
        </w:rPr>
        <w:t xml:space="preserve">Endpoints SOAP</w:t>
      </w:r>
      <w:r w:rsidDel="00000000" w:rsidR="00000000" w:rsidRPr="00000000">
        <w:rPr>
          <w:rtl w:val="0"/>
        </w:rPr>
        <w:t xml:space="preserve"> para envolver el backend existente.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(D) </w:t>
      </w:r>
      <w:r w:rsidDel="00000000" w:rsidR="00000000" w:rsidRPr="00000000">
        <w:rPr>
          <w:b w:val="1"/>
          <w:bCs w:val="1"/>
          <w:rtl w:val="0"/>
        </w:rPr>
        <w:t xml:space="preserve">Theme provider día/noche</w:t>
      </w:r>
      <w:r w:rsidDel="00000000" w:rsidR="00000000" w:rsidRPr="00000000">
        <w:rPr>
          <w:rtl w:val="0"/>
        </w:rPr>
        <w:t xml:space="preserve"> completo en el frontend.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Dime cuál atacar primero.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