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华为"/>
      <w:r>
        <w:t xml:space="preserve">华为</w:t>
      </w:r>
      <w:bookmarkEnd w:id="20"/>
    </w:p>
    <w:p>
      <w:pPr>
        <w:pStyle w:val="FirstParagraph"/>
      </w:pPr>
      <w:r>
        <w:rPr>
          <w:b/>
        </w:rPr>
        <w:t xml:space="preserve">深圳市龙岗区</w:t>
      </w:r>
    </w:p>
    <w:p>
      <w:pPr>
        <w:pStyle w:val="BodyText"/>
      </w:pPr>
      <w:r>
        <w:rPr>
          <w:rStyle w:val="VerbatimChar"/>
        </w:rPr>
        <w:t xml:space="preserve">通信设备 · 消费电子 · 云计算 · AI</w:t>
      </w:r>
    </w:p>
    <w:p>
      <w:pPr>
        <w:pStyle w:val="Heading2"/>
      </w:pPr>
      <w:bookmarkStart w:id="21" w:name="企业介绍与主营业务"/>
      <w:r>
        <w:t xml:space="preserve">① 企业介绍与主营业务</w:t>
      </w:r>
      <w:bookmarkEnd w:id="21"/>
    </w:p>
    <w:p>
      <w:pPr>
        <w:pStyle w:val="FirstParagraph"/>
      </w:pPr>
      <w:r>
        <w:t xml:space="preserve">华为由任正非于1987年创立，总部位于深圳市龙岗区，是全球领先的信息与通信技术（ICT）解决方案提供商。业务分为五大板块：</w:t>
      </w:r>
      <w:r>
        <w:rPr>
          <w:b/>
        </w:rPr>
        <w:t xml:space="preserve">ICT基础设施</w:t>
      </w:r>
      <w:r>
        <w:t xml:space="preserve">（运营商网络设备、5G基站、光传输、数据通信）、</w:t>
      </w:r>
      <w:r>
        <w:rPr>
          <w:b/>
        </w:rPr>
        <w:t xml:space="preserve">终端业务</w:t>
      </w:r>
      <w:r>
        <w:t xml:space="preserve">（智能手机、平板、穿戴设备、PC）、</w:t>
      </w:r>
      <w:r>
        <w:rPr>
          <w:b/>
        </w:rPr>
        <w:t xml:space="preserve">华为云</w:t>
      </w:r>
      <w:r>
        <w:t xml:space="preserve">（公有云/IaaS/PaaS服务，中国市场份额第二）、</w:t>
      </w:r>
      <w:r>
        <w:rPr>
          <w:b/>
        </w:rPr>
        <w:t xml:space="preserve">数字能源</w:t>
      </w:r>
      <w:r>
        <w:t xml:space="preserve">（智能光伏、数据中心能源）、</w:t>
      </w:r>
      <w:r>
        <w:rPr>
          <w:b/>
        </w:rPr>
        <w:t xml:space="preserve">智能汽车解决方案</w:t>
      </w:r>
      <w:r>
        <w:t xml:space="preserve">（智能座舱、自动驾驶）。2024年营收约¥8,621亿，净利润约¥1,256亿。</w:t>
      </w:r>
    </w:p>
    <w:p>
      <w:pPr>
        <w:pStyle w:val="Heading2"/>
      </w:pPr>
      <w:bookmarkStart w:id="22" w:name="核心人物"/>
      <w:r>
        <w:t xml:space="preserve">② 核心人物</w:t>
      </w:r>
      <w:bookmarkEnd w:id="22"/>
    </w:p>
    <w:p>
      <w:pPr>
        <w:pStyle w:val="BlockText"/>
      </w:pPr>
      <w:r>
        <w:rPr>
          <w:b/>
        </w:rPr>
        <w:t xml:space="preserve">任正非</w:t>
      </w:r>
      <w:r>
        <w:t xml:space="preserve"> </w:t>
      </w:r>
      <w:r>
        <w:t xml:space="preserve">· 创始人、CEO · 1944年生于贵州镇宁 · 重庆建筑工程学院（现重庆大学）毕业 · 基建工程兵技术员出身，1987年以¥21,000创立华为，推行员工持股制度（99%员工持股），将华为发展为全球最大电信设备商 · 著有《华为的冬天》等管理名篇</w:t>
      </w:r>
    </w:p>
    <w:p>
      <w:pPr>
        <w:pStyle w:val="Heading2"/>
      </w:pPr>
      <w:bookmarkStart w:id="23" w:name="技术与知识产权"/>
      <w:r>
        <w:t xml:space="preserve">③ 技术与知识产权</w:t>
      </w:r>
      <w:bookmarkEnd w:id="23"/>
    </w:p>
    <w:p>
      <w:pPr>
        <w:pStyle w:val="FirstParagraph"/>
      </w:pPr>
      <w:r>
        <w:t xml:space="preserve">公司累计持有有效授权专利超过12万项，是全球最大的专利持有企业之一。2024年研发投入约¥1,797亿（占营收20.8%），研发人员约11.4万人（占员工总数55%）。自研芯片涵盖麒麟（手机SoC）、昇腾（AI加速器）、鲲鹏（服务器CPU）、巴龙（基带）。鸿蒙操作系统（HarmonyOS）已覆盖超过8亿设备。5G标准必要专利（SEP）声明量全球第一。</w:t>
      </w:r>
    </w:p>
    <w:p>
      <w:pPr>
        <w:pStyle w:val="Heading2"/>
      </w:pPr>
      <w:bookmarkStart w:id="24" w:name="经济贡献与经营数据"/>
      <w:r>
        <w:t xml:space="preserve">④ 经济贡献与经营数据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营业总收入</w:t>
            </w:r>
          </w:p>
        </w:tc>
        <w:tc>
          <w:p>
            <w:pPr>
              <w:pStyle w:val="Compact"/>
              <w:jc w:val="left"/>
            </w:pPr>
            <w:r>
              <w:t xml:space="preserve">¥7,042亿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¥8,621亿</w:t>
            </w:r>
          </w:p>
        </w:tc>
        <w:tc>
          <w:p>
            <w:pPr>
              <w:pStyle w:val="Compact"/>
              <w:jc w:val="left"/>
            </w:pPr>
            <w:r>
              <w:t xml:space="preserve">约¥9,400亿*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营收同比增速</w:t>
            </w:r>
          </w:p>
        </w:tc>
        <w:tc>
          <w:p>
            <w:pPr>
              <w:pStyle w:val="Compact"/>
              <w:jc w:val="left"/>
            </w:pPr>
            <w:r>
              <w:t xml:space="preserve">+9.6%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+22.4%</w:t>
            </w:r>
          </w:p>
        </w:tc>
        <w:tc>
          <w:p>
            <w:pPr>
              <w:pStyle w:val="Compact"/>
              <w:jc w:val="left"/>
            </w:pPr>
            <w:r>
              <w:t xml:space="preserve">约+9%*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p>
            <w:pPr>
              <w:pStyle w:val="Compact"/>
              <w:jc w:val="left"/>
            </w:pPr>
            <w:r>
              <w:t xml:space="preserve">约44%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约46%</w:t>
            </w:r>
          </w:p>
        </w:tc>
        <w:tc>
          <w:p>
            <w:pPr>
              <w:pStyle w:val="Compact"/>
              <w:jc w:val="left"/>
            </w:pPr>
            <w:r>
              <w:t xml:space="preserve">约47%*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p>
            <w:pPr>
              <w:pStyle w:val="Compact"/>
              <w:jc w:val="left"/>
            </w:pPr>
            <w:r>
              <w:t xml:space="preserve">¥870亿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¥1,256亿</w:t>
            </w:r>
          </w:p>
        </w:tc>
        <w:tc>
          <w:p>
            <w:pPr>
              <w:pStyle w:val="Compact"/>
              <w:jc w:val="left"/>
            </w:pPr>
            <w:r>
              <w:t xml:space="preserve">约¥1,400亿*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14.6%</w:t>
            </w:r>
          </w:p>
        </w:tc>
        <w:tc>
          <w:p>
            <w:pPr>
              <w:pStyle w:val="Compact"/>
              <w:jc w:val="left"/>
            </w:pPr>
            <w:r>
              <w:t xml:space="preserve">约14.9%*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经营活动现金流净额</w:t>
            </w:r>
          </w:p>
        </w:tc>
        <w:tc>
          <w:p>
            <w:pPr>
              <w:pStyle w:val="Compact"/>
              <w:jc w:val="left"/>
            </w:pPr>
            <w:r>
              <w:t xml:space="preserve">约¥700亿</w:t>
            </w:r>
          </w:p>
        </w:tc>
        <w:tc>
          <w:p>
            <w:pPr>
              <w:pStyle w:val="Compact"/>
              <w:jc w:val="left"/>
            </w:pPr>
            <w:r>
              <w:t xml:space="preserve">约¥950亿</w:t>
            </w:r>
          </w:p>
        </w:tc>
        <w:tc>
          <w:p>
            <w:pPr>
              <w:pStyle w:val="Compact"/>
              <w:jc w:val="left"/>
            </w:pPr>
            <w:r>
              <w:t xml:space="preserve">约¥1,000亿*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研发投入</w:t>
            </w:r>
          </w:p>
        </w:tc>
        <w:tc>
          <w:p>
            <w:pPr>
              <w:pStyle w:val="Compact"/>
              <w:jc w:val="left"/>
            </w:pPr>
            <w:r>
              <w:t xml:space="preserve">¥1,647亿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¥1,797亿</w:t>
            </w:r>
          </w:p>
        </w:tc>
        <w:tc>
          <w:p>
            <w:pPr>
              <w:pStyle w:val="Compact"/>
              <w:jc w:val="left"/>
            </w:pPr>
            <w:r>
              <w:t xml:space="preserve">约¥1,950亿*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研发占营收比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23.4%</w:t>
            </w:r>
          </w:p>
        </w:tc>
        <w:tc>
          <w:p>
            <w:pPr>
              <w:pStyle w:val="Compact"/>
              <w:jc w:val="left"/>
            </w:pPr>
            <w:r>
              <w:t xml:space="preserve">20.8%</w:t>
            </w:r>
          </w:p>
        </w:tc>
        <w:tc>
          <w:p>
            <w:pPr>
              <w:pStyle w:val="Compact"/>
              <w:jc w:val="left"/>
            </w:pPr>
            <w:r>
              <w:t xml:space="preserve">约20.7%*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员工总数</w:t>
            </w:r>
          </w:p>
        </w:tc>
        <w:tc>
          <w:p>
            <w:pPr>
              <w:pStyle w:val="Compact"/>
              <w:jc w:val="left"/>
            </w:pPr>
            <w:r>
              <w:t xml:space="preserve">约207,000人</w:t>
            </w:r>
          </w:p>
        </w:tc>
        <w:tc>
          <w:p>
            <w:pPr>
              <w:pStyle w:val="Compact"/>
              <w:jc w:val="left"/>
            </w:pPr>
            <w:r>
              <w:t xml:space="preserve">约207,000人</w:t>
            </w:r>
          </w:p>
        </w:tc>
        <w:tc>
          <w:p>
            <w:pPr>
              <w:pStyle w:val="Compact"/>
              <w:jc w:val="left"/>
            </w:pPr>
            <w:r>
              <w:t xml:space="preserve">约210,000人*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总资产</w:t>
            </w:r>
          </w:p>
        </w:tc>
        <w:tc>
          <w:p>
            <w:pPr>
              <w:pStyle w:val="Compact"/>
              <w:jc w:val="left"/>
            </w:pPr>
            <w:r>
              <w:t xml:space="preserve">约¥1.07万亿</w:t>
            </w:r>
          </w:p>
        </w:tc>
        <w:tc>
          <w:p>
            <w:pPr>
              <w:pStyle w:val="Compact"/>
              <w:jc w:val="left"/>
            </w:pPr>
            <w:r>
              <w:t xml:space="preserve">约¥1.20万亿</w:t>
            </w:r>
          </w:p>
        </w:tc>
        <w:tc>
          <w:p>
            <w:pPr>
              <w:pStyle w:val="Compact"/>
              <w:jc w:val="left"/>
            </w:pPr>
            <w:r>
              <w:t xml:space="preserve">约¥1.30万亿*</w:t>
            </w:r>
          </w:p>
        </w:tc>
      </w:tr>
    </w:tbl>
    <w:p>
      <w:pPr>
        <w:pStyle w:val="BlockText"/>
      </w:pPr>
      <w:r>
        <w:t xml:space="preserve">*2025年数据为根据前三季度财报的估算值。数据来源：华为2024年度报告（huawei.com）及官网投资者关系页面。终端业务复苏驱动2024年营收增长22.4%，净利率持续改善。研发投入绝对值连续三年增长，占营收比稳定在20%以上。</w:t>
      </w:r>
    </w:p>
    <w:p>
      <w:pPr>
        <w:pStyle w:val="Heading2"/>
      </w:pPr>
      <w:bookmarkStart w:id="25" w:name="供应链与区域布局"/>
      <w:r>
        <w:t xml:space="preserve">⑤ 供应链与区域布局</w:t>
      </w:r>
      <w:bookmarkEnd w:id="25"/>
    </w:p>
    <w:p>
      <w:pPr>
        <w:pStyle w:val="FirstParagraph"/>
      </w:pPr>
      <w:r>
        <w:t xml:space="preserve">华为自研芯片依赖台积电代工（受美国实体清单限制，先进制程芯片无法制造），麒麟芯片转向中芯国际成熟制程。昇腾AI芯片由海思设计，目前依赖国内代工产能。总部位于深圳，全球设有研发中心分布于北京、上海、成都、西安、南京、东莞、欧洲（慕尼黑、巴黎）、俄罗斯等地。在中国拥有完善的本地化供应链体系。</w:t>
      </w:r>
    </w:p>
    <w:p>
      <w:pPr>
        <w:pStyle w:val="Heading2"/>
      </w:pPr>
      <w:bookmarkStart w:id="26" w:name="市场份额与生态安全"/>
      <w:r>
        <w:t xml:space="preserve">⑥ 市场份额与生态安全</w:t>
      </w:r>
      <w:bookmarkEnd w:id="26"/>
    </w:p>
    <w:p>
      <w:pPr>
        <w:pStyle w:val="FirstParagraph"/>
      </w:pPr>
      <w:r>
        <w:t xml:space="preserve">华为在5G电信设备市场份额约31%（全球第一，Dell’Oro 2024），智能手机在中国市场份额约17%（前三），在Android平板/穿戴设备等品类均位居国内前列。鸿蒙生态设备超过8亿，开发者超过220万。华为云中国市场份额约19%（第二，IDC 2024）。需关注的生态安全风险包括：美国实体清单持续限制（无法获取先进制程芯片）、海外运营商5G合同拓展受阻、以及智能手机海外市场GMS缺失导致份额下滑。</w:t>
      </w:r>
    </w:p>
    <w:p>
      <w:pPr>
        <w:pStyle w:val="Heading2"/>
      </w:pPr>
      <w:bookmarkStart w:id="27" w:name="核心产品"/>
      <w:r>
        <w:t xml:space="preserve">核心产品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发布时间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产品介绍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 70系列手机</w:t>
            </w:r>
          </w:p>
        </w:tc>
        <w:tc>
          <w:p>
            <w:pPr>
              <w:pStyle w:val="Compact"/>
              <w:jc w:val="left"/>
            </w:pPr>
            <w:r>
              <w:t xml:space="preserve">2024年11月</w:t>
            </w:r>
          </w:p>
        </w:tc>
        <w:tc>
          <w:p>
            <w:pPr>
              <w:pStyle w:val="Compact"/>
              <w:jc w:val="left"/>
            </w:pPr>
            <w:r>
              <w:t xml:space="preserve">搭载麒麟9100芯片，支持卫星通信，预装HarmonyOS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问界M9</w:t>
            </w:r>
          </w:p>
        </w:tc>
        <w:tc>
          <w:p>
            <w:pPr>
              <w:pStyle w:val="Compact"/>
              <w:jc w:val="left"/>
            </w:pPr>
            <w:r>
              <w:t xml:space="preserve">2023年12月</w:t>
            </w:r>
          </w:p>
        </w:tc>
        <w:tc>
          <w:p>
            <w:pPr>
              <w:pStyle w:val="Compact"/>
              <w:jc w:val="left"/>
            </w:pPr>
            <w:r>
              <w:t xml:space="preserve">鸿蒙智能座舱+ADS 2.0高阶自动驾驶，48小时订单超2万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昇腾910B AI芯片</w:t>
            </w:r>
          </w:p>
        </w:tc>
        <w:tc>
          <w:p>
            <w:pPr>
              <w:pStyle w:val="Compact"/>
              <w:jc w:val="left"/>
            </w:pPr>
            <w:r>
              <w:t xml:space="preserve">2023年8月</w:t>
            </w:r>
          </w:p>
        </w:tc>
        <w:tc>
          <w:p>
            <w:pPr>
              <w:pStyle w:val="Compact"/>
              <w:jc w:val="left"/>
            </w:pPr>
            <w:r>
              <w:t xml:space="preserve">AI训练加速器，FP16算力约320TFLOPS，面向大模型训练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华为云Stack</w:t>
            </w:r>
          </w:p>
        </w:tc>
        <w:tc>
          <w:p>
            <w:pPr>
              <w:pStyle w:val="Compact"/>
              <w:jc w:val="left"/>
            </w:pPr>
            <w:r>
              <w:t xml:space="preserve">2022年5月</w:t>
            </w:r>
          </w:p>
        </w:tc>
        <w:tc>
          <w:p>
            <w:pPr>
              <w:pStyle w:val="Compact"/>
              <w:jc w:val="left"/>
            </w:pPr>
            <w:r>
              <w:t xml:space="preserve">混合云解决方案，在政务云市场份额领先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华为F5G方案</w:t>
            </w:r>
          </w:p>
        </w:tc>
        <w:tc>
          <w:p>
            <w:pPr>
              <w:pStyle w:val="Compact"/>
              <w:jc w:val="left"/>
            </w:pPr>
            <w:r>
              <w:t xml:space="preserve">2020年</w:t>
            </w:r>
          </w:p>
        </w:tc>
        <w:tc>
          <w:p>
            <w:pPr>
              <w:pStyle w:val="Compact"/>
              <w:jc w:val="left"/>
            </w:pPr>
            <w:r>
              <w:t xml:space="preserve">第五代固定网络，在光传输/光接入市场份额全球领先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鸿蒙HarmonyOS</w:t>
            </w:r>
          </w:p>
        </w:tc>
        <w:tc>
          <w:p>
            <w:pPr>
              <w:pStyle w:val="Compact"/>
              <w:jc w:val="left"/>
            </w:pPr>
            <w:r>
              <w:t xml:space="preserve">2019年8月</w:t>
            </w:r>
          </w:p>
        </w:tc>
        <w:tc>
          <w:p>
            <w:pPr>
              <w:pStyle w:val="Compact"/>
              <w:jc w:val="left"/>
            </w:pPr>
            <w:r>
              <w:t xml:space="preserve">分布式操作系统，覆盖手机/平板/车机/穿戴/IoT全场景</w:t>
            </w:r>
          </w:p>
        </w:tc>
      </w:tr>
    </w:tbl>
    <w:p>
      <w:pPr>
        <w:pStyle w:val="BlockText"/>
      </w:pPr>
      <w:r>
        <w:t xml:space="preserve">以上内容均为 AI 生产，仅供参考 · 模型：deepseek-v4-flash · Agent：Hermes Agent</w:t>
      </w:r>
    </w:p>
    <w:p>
      <w:pPr>
        <w:pStyle w:val="BlockText"/>
      </w:pPr>
      <w:r>
        <w:t xml:space="preserve">数据来源：华为2024年度报告（huawei.com）| 华为官网投资者关系 | IDC · Dell’Oro · 数据截至2026年6月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2026-06-10T03:15:19Z</dcterms:created>
  <dcterms:modified xsi:type="dcterms:W3CDTF">2026-06-10T03:15:19Z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