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vidia"/>
      <w:r>
        <w:t xml:space="preserve">NVIDIA</w:t>
      </w:r>
      <w:bookmarkEnd w:id="20"/>
    </w:p>
    <w:p>
      <w:pPr>
        <w:pStyle w:val="FirstParagraph"/>
      </w:pPr>
      <w:r>
        <w:rPr>
          <w:b/>
        </w:rPr>
        <w:t xml:space="preserve">加州圣克拉拉</w:t>
      </w:r>
    </w:p>
    <w:p>
      <w:pPr>
        <w:pStyle w:val="BodyText"/>
      </w:pPr>
      <w:r>
        <w:rPr>
          <w:rStyle w:val="VerbatimChar"/>
        </w:rPr>
        <w:t xml:space="preserve">AI计算</w:t>
      </w:r>
      <w:r>
        <w:t xml:space="preserve"> </w:t>
      </w:r>
      <w:r>
        <w:rPr>
          <w:rStyle w:val="VerbatimChar"/>
        </w:rPr>
        <w:t xml:space="preserve">GPU</w:t>
      </w:r>
      <w:r>
        <w:t xml:space="preserve"> </w:t>
      </w:r>
      <w:r>
        <w:rPr>
          <w:rStyle w:val="VerbatimChar"/>
        </w:rPr>
        <w:t xml:space="preserve">数据中心</w:t>
      </w:r>
      <w:r>
        <w:t xml:space="preserve"> </w:t>
      </w:r>
      <w:r>
        <w:rPr>
          <w:rStyle w:val="VerbatimChar"/>
        </w:rPr>
        <w:t xml:space="preserve">自动驾驶</w:t>
      </w:r>
    </w:p>
    <w:p>
      <w:pPr>
        <w:pStyle w:val="Heading2"/>
      </w:pPr>
      <w:bookmarkStart w:id="21" w:name="企业介绍与主营业务"/>
      <w:r>
        <w:t xml:space="preserve">① 企业介绍与主营业务</w:t>
      </w:r>
      <w:bookmarkEnd w:id="21"/>
    </w:p>
    <w:p>
      <w:pPr>
        <w:pStyle w:val="FirstParagraph"/>
      </w:pPr>
      <w:r>
        <w:t xml:space="preserve">NVIDIA由黄仁勋（Jensen Huang）、Chris Malachowsky和Curtis Priem于1993年创立，总部位于美国加州圣克拉拉，1999年纳斯达克上市（NVDA）。公司是全球GPU与AI计算领域的核心企业，业务分为四大板块：</w:t>
      </w:r>
      <w:r>
        <w:rPr>
          <w:b/>
        </w:rPr>
        <w:t xml:space="preserve">数据中心</w:t>
      </w:r>
      <w:r>
        <w:t xml:space="preserve">（AI训练/推理GPU、DPU、AI企业软件，占总营收约78%）、</w:t>
      </w:r>
      <w:r>
        <w:rPr>
          <w:b/>
        </w:rPr>
        <w:t xml:space="preserve">游戏</w:t>
      </w:r>
      <w:r>
        <w:t xml:space="preserve">（GeForce RTX系列消费级GPU）、</w:t>
      </w:r>
      <w:r>
        <w:rPr>
          <w:b/>
        </w:rPr>
        <w:t xml:space="preserve">专业可视化</w:t>
      </w:r>
      <w:r>
        <w:t xml:space="preserve">（RTX工作站显卡、Omniverse平台）和</w:t>
      </w:r>
      <w:r>
        <w:rPr>
          <w:b/>
        </w:rPr>
        <w:t xml:space="preserve">汽车与机器人</w:t>
      </w:r>
      <w:r>
        <w:t xml:space="preserve">（Drive自动驾驶、Jetson机器人）。</w:t>
      </w:r>
    </w:p>
    <w:p>
      <w:pPr>
        <w:pStyle w:val="Heading2"/>
      </w:pPr>
      <w:bookmarkStart w:id="22" w:name="核心人物"/>
      <w:r>
        <w:t xml:space="preserve">② 核心人物</w:t>
      </w:r>
      <w:bookmarkEnd w:id="22"/>
    </w:p>
    <w:p>
      <w:pPr>
        <w:pStyle w:val="BlockText"/>
      </w:pPr>
      <w:r>
        <w:rPr>
          <w:b/>
        </w:rPr>
        <w:t xml:space="preserve">黄仁勋（Jensen Huang）</w:t>
      </w:r>
      <w:r>
        <w:t xml:space="preserve"> </w:t>
      </w:r>
      <w:r>
        <w:t xml:space="preserve">· 创始人、CEO · 1963年生于台北，台湾裔美国人 · 俄勒冈州立大学电气工程学士（最高荣誉）、斯坦福大学电气工程硕士 · 曾任AMD微处理器设计师，1993年以$600创办NVIDIA，任CEO逾32年</w:t>
      </w:r>
    </w:p>
    <w:p>
      <w:pPr>
        <w:pStyle w:val="Heading2"/>
      </w:pPr>
      <w:bookmarkStart w:id="23" w:name="技术与知识产权"/>
      <w:r>
        <w:t xml:space="preserve">③ 技术与知识产权</w:t>
      </w:r>
      <w:bookmarkEnd w:id="23"/>
    </w:p>
    <w:p>
      <w:pPr>
        <w:pStyle w:val="FirstParagraph"/>
      </w:pPr>
      <w:r>
        <w:t xml:space="preserve">累计超过11,000项全球专利，2007年推出CUDA平台成为AI计算基石，研发投入累计超$100亿。GPU架构从Tensor Cores演进至Ampere、Hopper、Blackwell。桌面GPU市占率约92%，AI训练/推理GPU市占率超80%，TOP500超算中75%以上使用NVIDIA芯片。</w:t>
      </w:r>
    </w:p>
    <w:p>
      <w:pPr>
        <w:pStyle w:val="Heading2"/>
      </w:pPr>
      <w:bookmarkStart w:id="24" w:name="经济贡献与经营数据"/>
      <w:r>
        <w:t xml:space="preserve">④ 经济贡献与经营数据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FY2023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FY2024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FY2025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营业总收入</w:t>
            </w:r>
          </w:p>
        </w:tc>
        <w:tc>
          <w:p>
            <w:pPr>
              <w:pStyle w:val="Compact"/>
              <w:jc w:val="left"/>
            </w:pPr>
            <w:r>
              <w:t xml:space="preserve">$269.74亿</w:t>
            </w:r>
          </w:p>
        </w:tc>
        <w:tc>
          <w:p>
            <w:pPr>
              <w:pStyle w:val="Compact"/>
              <w:jc w:val="left"/>
            </w:pPr>
            <w:r>
              <w:t xml:space="preserve">$609.22亿</w:t>
            </w:r>
          </w:p>
        </w:tc>
        <w:tc>
          <w:p>
            <w:pPr>
              <w:pStyle w:val="Compact"/>
              <w:jc w:val="left"/>
            </w:pPr>
            <w:r>
              <w:t xml:space="preserve">$1,304.97亿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营收同比增速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+125.9%</w:t>
            </w:r>
          </w:p>
        </w:tc>
        <w:tc>
          <w:p>
            <w:pPr>
              <w:pStyle w:val="Compact"/>
              <w:jc w:val="left"/>
            </w:pPr>
            <w:r>
              <w:t xml:space="preserve">+114.2%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p>
            <w:pPr>
              <w:pStyle w:val="Compact"/>
              <w:jc w:val="left"/>
            </w:pPr>
            <w:r>
              <w:t xml:space="preserve">56.9%</w:t>
            </w:r>
          </w:p>
        </w:tc>
        <w:tc>
          <w:p>
            <w:pPr>
              <w:pStyle w:val="Compact"/>
              <w:jc w:val="left"/>
            </w:pPr>
            <w:r>
              <w:t xml:space="preserve">72.7%</w:t>
            </w:r>
          </w:p>
        </w:tc>
        <w:tc>
          <w:p>
            <w:pPr>
              <w:pStyle w:val="Compact"/>
              <w:jc w:val="left"/>
            </w:pPr>
            <w:r>
              <w:t xml:space="preserve">75.0%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归母净利润</w:t>
            </w:r>
          </w:p>
        </w:tc>
        <w:tc>
          <w:p>
            <w:pPr>
              <w:pStyle w:val="Compact"/>
              <w:jc w:val="left"/>
            </w:pPr>
            <w:r>
              <w:t xml:space="preserve">$43.68亿</w:t>
            </w:r>
          </w:p>
        </w:tc>
        <w:tc>
          <w:p>
            <w:pPr>
              <w:pStyle w:val="Compact"/>
              <w:jc w:val="left"/>
            </w:pPr>
            <w:r>
              <w:t xml:space="preserve">$297.60亿</w:t>
            </w:r>
          </w:p>
        </w:tc>
        <w:tc>
          <w:p>
            <w:pPr>
              <w:pStyle w:val="Compact"/>
              <w:jc w:val="left"/>
            </w:pPr>
            <w:r>
              <w:t xml:space="preserve">$728.80亿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净利率</w:t>
            </w:r>
          </w:p>
        </w:tc>
        <w:tc>
          <w:p>
            <w:pPr>
              <w:pStyle w:val="Compact"/>
              <w:jc w:val="left"/>
            </w:pPr>
            <w:r>
              <w:t xml:space="preserve">16.2%</w:t>
            </w:r>
          </w:p>
        </w:tc>
        <w:tc>
          <w:p>
            <w:pPr>
              <w:pStyle w:val="Compact"/>
              <w:jc w:val="left"/>
            </w:pPr>
            <w:r>
              <w:t xml:space="preserve">48.8%</w:t>
            </w:r>
          </w:p>
        </w:tc>
        <w:tc>
          <w:p>
            <w:pPr>
              <w:pStyle w:val="Compact"/>
              <w:jc w:val="left"/>
            </w:pPr>
            <w:r>
              <w:t xml:space="preserve">55.8%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经营活动现金流净额</w:t>
            </w:r>
          </w:p>
        </w:tc>
        <w:tc>
          <w:p>
            <w:pPr>
              <w:pStyle w:val="Compact"/>
              <w:jc w:val="left"/>
            </w:pPr>
            <w:r>
              <w:t xml:space="preserve">$56.41亿</w:t>
            </w:r>
          </w:p>
        </w:tc>
        <w:tc>
          <w:p>
            <w:pPr>
              <w:pStyle w:val="Compact"/>
              <w:jc w:val="left"/>
            </w:pPr>
            <w:r>
              <w:t xml:space="preserve">$280.90亿</w:t>
            </w:r>
          </w:p>
        </w:tc>
        <w:tc>
          <w:p>
            <w:pPr>
              <w:pStyle w:val="Compact"/>
              <w:jc w:val="left"/>
            </w:pPr>
            <w:r>
              <w:t xml:space="preserve">$640.89亿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研发投入</w:t>
            </w:r>
          </w:p>
        </w:tc>
        <w:tc>
          <w:p>
            <w:pPr>
              <w:pStyle w:val="Compact"/>
              <w:jc w:val="left"/>
            </w:pPr>
            <w:r>
              <w:t xml:space="preserve">$73.39亿</w:t>
            </w:r>
          </w:p>
        </w:tc>
        <w:tc>
          <w:p>
            <w:pPr>
              <w:pStyle w:val="Compact"/>
              <w:jc w:val="left"/>
            </w:pPr>
            <w:r>
              <w:t xml:space="preserve">$86.75亿</w:t>
            </w:r>
          </w:p>
        </w:tc>
        <w:tc>
          <w:p>
            <w:pPr>
              <w:pStyle w:val="Compact"/>
              <w:jc w:val="left"/>
            </w:pPr>
            <w:r>
              <w:t xml:space="preserve">$129.14亿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研发占营收比</w:t>
            </w:r>
          </w:p>
        </w:tc>
        <w:tc>
          <w:p>
            <w:pPr>
              <w:pStyle w:val="Compact"/>
              <w:jc w:val="left"/>
            </w:pPr>
            <w:r>
              <w:t xml:space="preserve">27.2%</w:t>
            </w:r>
          </w:p>
        </w:tc>
        <w:tc>
          <w:p>
            <w:pPr>
              <w:pStyle w:val="Compact"/>
              <w:jc w:val="left"/>
            </w:pPr>
            <w:r>
              <w:t xml:space="preserve">14.2%</w:t>
            </w:r>
          </w:p>
        </w:tc>
        <w:tc>
          <w:p>
            <w:pPr>
              <w:pStyle w:val="Compact"/>
              <w:jc w:val="left"/>
            </w:pPr>
            <w:r>
              <w:t xml:space="preserve">9.9%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员工总数</w:t>
            </w:r>
          </w:p>
        </w:tc>
        <w:tc>
          <w:p>
            <w:pPr>
              <w:pStyle w:val="Compact"/>
              <w:jc w:val="left"/>
            </w:pPr>
            <w:r>
              <w:t xml:space="preserve">26,000人</w:t>
            </w:r>
          </w:p>
        </w:tc>
        <w:tc>
          <w:p>
            <w:pPr>
              <w:pStyle w:val="Compact"/>
              <w:jc w:val="left"/>
            </w:pPr>
            <w:r>
              <w:t xml:space="preserve">29,600人</w:t>
            </w:r>
          </w:p>
        </w:tc>
        <w:tc>
          <w:p>
            <w:pPr>
              <w:pStyle w:val="Compact"/>
              <w:jc w:val="left"/>
            </w:pPr>
            <w:r>
              <w:t xml:space="preserve">36,000人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总资产</w:t>
            </w:r>
          </w:p>
        </w:tc>
        <w:tc>
          <w:p>
            <w:pPr>
              <w:pStyle w:val="Compact"/>
              <w:jc w:val="left"/>
            </w:pPr>
            <w:r>
              <w:t xml:space="preserve">$441.87亿</w:t>
            </w:r>
          </w:p>
        </w:tc>
        <w:tc>
          <w:p>
            <w:pPr>
              <w:pStyle w:val="Compact"/>
              <w:jc w:val="left"/>
            </w:pPr>
            <w:r>
              <w:t xml:space="preserve">$657.28亿</w:t>
            </w:r>
          </w:p>
        </w:tc>
        <w:tc>
          <w:p>
            <w:pPr>
              <w:pStyle w:val="Compact"/>
              <w:jc w:val="left"/>
            </w:pPr>
            <w:r>
              <w:t xml:space="preserve">$1,116.01亿</w:t>
            </w:r>
          </w:p>
        </w:tc>
      </w:tr>
    </w:tbl>
    <w:p>
      <w:pPr>
        <w:pStyle w:val="BlockText"/>
      </w:pPr>
      <w:r>
        <w:t xml:space="preserve">AI算力需求驱动营收3年增长384%，毛利率从56.9%提升至75.0%。数据来源：SEC 10-K年报。</w:t>
      </w:r>
    </w:p>
    <w:p>
      <w:pPr>
        <w:pStyle w:val="Heading2"/>
      </w:pPr>
      <w:bookmarkStart w:id="25" w:name="供应链与区域布局"/>
      <w:r>
        <w:t xml:space="preserve">⑤ 供应链与区域布局</w:t>
      </w:r>
      <w:bookmarkEnd w:id="25"/>
    </w:p>
    <w:p>
      <w:pPr>
        <w:pStyle w:val="FirstParagraph"/>
      </w:pPr>
      <w:r>
        <w:t xml:space="preserve">采用无晶圆厂模式，高端芯片由台积电代工，CoWoS先进封装，部分成熟制程由三星代工。HBM内存由SK海力士和美光供应。总部位于加州圣克拉拉，研发中心分布于美国、以色列、加拿大、英国、中国等地。</w:t>
      </w:r>
    </w:p>
    <w:p>
      <w:pPr>
        <w:pStyle w:val="Heading2"/>
      </w:pPr>
      <w:bookmarkStart w:id="26" w:name="市场份额与生态安全"/>
      <w:r>
        <w:t xml:space="preserve">⑥ 市场份额与生态安全</w:t>
      </w:r>
      <w:bookmarkEnd w:id="26"/>
    </w:p>
    <w:p>
      <w:pPr>
        <w:pStyle w:val="FirstParagraph"/>
      </w:pPr>
      <w:r>
        <w:t xml:space="preserve">NVIDIA在AI计算GPU市场份额约80%以上，全球TOP500超算中75%以上基于NVIDIA加速器，桌面独立GPU市场份额约92%。CUDA生态自2007年发布以来已积累超过400万开发者。自动驾驶领域Drive平台被全球超过30家车企采用。生态安全风险包括：对台积电先进制程与CoWoS封装的高度依赖、中美贸易摩擦导致的出口管制、云端客户自研芯片的长期替代威胁。</w:t>
      </w:r>
    </w:p>
    <w:p>
      <w:pPr>
        <w:pStyle w:val="Heading2"/>
      </w:pPr>
      <w:bookmarkStart w:id="27" w:name="核心产品"/>
      <w:r>
        <w:t xml:space="preserve">核心产品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产品名称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发布时间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产品介绍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Vera Rubin NVL72</w:t>
            </w:r>
          </w:p>
        </w:tc>
        <w:tc>
          <w:p>
            <w:pPr>
              <w:pStyle w:val="Compact"/>
              <w:jc w:val="left"/>
            </w:pPr>
            <w:r>
              <w:t xml:space="preserve">2026年3月</w:t>
            </w:r>
          </w:p>
        </w:tc>
        <w:tc>
          <w:p>
            <w:pPr>
              <w:pStyle w:val="Compact"/>
              <w:jc w:val="left"/>
            </w:pPr>
            <w:r>
              <w:t xml:space="preserve">新一代AI平台，7颗新芯片投产，面向Agentic AI推理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Vera CPU Rack</w:t>
            </w:r>
          </w:p>
        </w:tc>
        <w:tc>
          <w:p>
            <w:pPr>
              <w:pStyle w:val="Compact"/>
              <w:jc w:val="left"/>
            </w:pPr>
            <w:r>
              <w:t xml:space="preserve">2026年3月</w:t>
            </w:r>
          </w:p>
        </w:tc>
        <w:tc>
          <w:p>
            <w:pPr>
              <w:pStyle w:val="Compact"/>
              <w:jc w:val="left"/>
            </w:pPr>
            <w:r>
              <w:t xml:space="preserve">256颗Vera CPU液冷机架，AI工厂推理基础设施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RTX 5090</w:t>
            </w:r>
          </w:p>
        </w:tc>
        <w:tc>
          <w:p>
            <w:pPr>
              <w:pStyle w:val="Compact"/>
              <w:jc w:val="left"/>
            </w:pPr>
            <w:r>
              <w:t xml:space="preserve">2025年1月</w:t>
            </w:r>
          </w:p>
        </w:tc>
        <w:tc>
          <w:p>
            <w:pPr>
              <w:pStyle w:val="Compact"/>
              <w:jc w:val="left"/>
            </w:pPr>
            <w:r>
              <w:t xml:space="preserve">Blackwell架构消费级GPU，支持DLSS 4与全景光线追踪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Blackwell B200</w:t>
            </w:r>
          </w:p>
        </w:tc>
        <w:tc>
          <w:p>
            <w:pPr>
              <w:pStyle w:val="Compact"/>
              <w:jc w:val="left"/>
            </w:pPr>
            <w:r>
              <w:t xml:space="preserve">2024年3月</w:t>
            </w:r>
          </w:p>
        </w:tc>
        <w:tc>
          <w:p>
            <w:pPr>
              <w:pStyle w:val="Compact"/>
              <w:jc w:val="left"/>
            </w:pPr>
            <w:r>
              <w:t xml:space="preserve">AI训练GPU，集成2080亿晶体管，面向万亿参数大模型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Drive Thor</w:t>
            </w:r>
          </w:p>
        </w:tc>
        <w:tc>
          <w:p>
            <w:pPr>
              <w:pStyle w:val="Compact"/>
              <w:jc w:val="left"/>
            </w:pPr>
            <w:r>
              <w:t xml:space="preserve">2024年</w:t>
            </w:r>
          </w:p>
        </w:tc>
        <w:tc>
          <w:p>
            <w:pPr>
              <w:pStyle w:val="Compact"/>
              <w:jc w:val="left"/>
            </w:pPr>
            <w:r>
              <w:t xml:space="preserve">集中式车载计算平台，支持自动驾驶与座舱AI融合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H200 NVL</w:t>
            </w:r>
          </w:p>
        </w:tc>
        <w:tc>
          <w:p>
            <w:pPr>
              <w:pStyle w:val="Compact"/>
              <w:jc w:val="left"/>
            </w:pPr>
            <w:r>
              <w:t xml:space="preserve">2024年11月</w:t>
            </w:r>
          </w:p>
        </w:tc>
        <w:tc>
          <w:p>
            <w:pPr>
              <w:pStyle w:val="Compact"/>
              <w:jc w:val="left"/>
            </w:pPr>
            <w:r>
              <w:t xml:space="preserve">Hopper架构AI推理主力，搭载HBM3e高带宽内存</w:t>
            </w:r>
          </w:p>
        </w:tc>
      </w:tr>
    </w:tbl>
    <w:p>
      <w:pPr>
        <w:pStyle w:val="BlockText"/>
      </w:pPr>
      <w:r>
        <w:t xml:space="preserve">以上内容均为 AI 生产，仅供参考 | 模型：deepseek-v4-flash | Agent：Hermes Agent</w:t>
      </w:r>
    </w:p>
    <w:p>
      <w:pPr>
        <w:pStyle w:val="BlockText"/>
      </w:pPr>
      <w:r>
        <w:t xml:space="preserve">数据来源：NVIDIA FY2023-FY2025 SEC 10-K年报（sec.gov）| GTC 2024/2025 | 各产品官方发布公告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2026-06-10T03:34:18Z</dcterms:created>
  <dcterms:modified xsi:type="dcterms:W3CDTF">2026-06-10T03:34:18Z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