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拓维信息talkweb企业分析"/>
      <w:r>
        <w:t xml:space="preserve">拓维信息（Talkweb）企业分析</w:t>
      </w:r>
      <w:bookmarkEnd w:id="20"/>
    </w:p>
    <w:p>
      <w:pPr>
        <w:pStyle w:val="BlockText"/>
      </w:pPr>
      <w:r>
        <w:rPr>
          <w:b/>
        </w:rPr>
        <w:t xml:space="preserve">定位</w:t>
      </w:r>
      <w:r>
        <w:t xml:space="preserve">：软件与信息技术服务商 | A股上市（002261.SZ） | 长沙 1996年 | 信创龙头 · 鸿蒙生态 · 智能计算</w:t>
      </w:r>
      <w:r>
        <w:t xml:space="preserve"> </w:t>
      </w:r>
      <w:r>
        <w:rPr>
          <w:b/>
        </w:rPr>
        <w:t xml:space="preserve">主营业务</w:t>
      </w:r>
      <w:r>
        <w:t xml:space="preserve">：基于华为鲲鹏/昇腾/开源鸿蒙技术底座，为政企提供软硬一体化解决方案，覆盖数字政府、智慧教育、智慧交通、智能制造等领域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企业介绍与主营业务"/>
      <w:r>
        <w:t xml:space="preserve">① 企业介绍与主营业务</w:t>
      </w:r>
      <w:bookmarkEnd w:id="21"/>
    </w:p>
    <w:p>
      <w:pPr>
        <w:pStyle w:val="FirstParagraph"/>
      </w:pPr>
      <w:r>
        <w:t xml:space="preserve">拓维信息系统股份有限公司成立于1996年，2008年于深交所上市，总部位于长沙。公司定位为</w:t>
      </w:r>
      <w:r>
        <w:rPr>
          <w:b/>
        </w:rPr>
        <w:t xml:space="preserve">国产信创软硬一体化产品及解决方案提供商</w:t>
      </w:r>
      <w:r>
        <w:t xml:space="preserve">，核心业务分三大板块：</w:t>
      </w:r>
      <w:r>
        <w:rPr>
          <w:b/>
        </w:rPr>
        <w:t xml:space="preserve">政企数字化</w:t>
      </w:r>
      <w:r>
        <w:t xml:space="preserve">（软件服务、考试服务、智慧教育/交通/制造）、</w:t>
      </w:r>
      <w:r>
        <w:rPr>
          <w:b/>
        </w:rPr>
        <w:t xml:space="preserve">智能计算</w:t>
      </w:r>
      <w:r>
        <w:t xml:space="preserve">（</w:t>
      </w:r>
      <w:r>
        <w:t xml:space="preserve">“</w:t>
      </w:r>
      <w:r>
        <w:t xml:space="preserve">兆瀚</w:t>
      </w:r>
      <w:r>
        <w:t xml:space="preserve">”</w:t>
      </w:r>
      <w:r>
        <w:t xml:space="preserve">品牌国产服务器/PC/AI产品）、</w:t>
      </w:r>
      <w:r>
        <w:rPr>
          <w:b/>
        </w:rPr>
        <w:t xml:space="preserve">鸿蒙生态</w:t>
      </w:r>
      <w:r>
        <w:t xml:space="preserve">（自研</w:t>
      </w:r>
      <w:r>
        <w:t xml:space="preserve">“</w:t>
      </w:r>
      <w:r>
        <w:t xml:space="preserve">在鸿</w:t>
      </w:r>
      <w:r>
        <w:t xml:space="preserve">”</w:t>
      </w:r>
      <w:r>
        <w:t xml:space="preserve">操作系统及行业发行版）。公司是华为</w:t>
      </w:r>
      <w:r>
        <w:t xml:space="preserve">“</w:t>
      </w:r>
      <w:r>
        <w:t xml:space="preserve">鲲鹏/昇腾AI+行业大模型+开源鸿蒙+华为云</w:t>
      </w:r>
      <w:r>
        <w:t xml:space="preserve">”</w:t>
      </w:r>
      <w:r>
        <w:t xml:space="preserve">全方位战略合作伙伴。</w:t>
      </w:r>
    </w:p>
    <w:p>
      <w:pPr>
        <w:pStyle w:val="Heading2"/>
      </w:pPr>
      <w:bookmarkStart w:id="22" w:name="核心人物"/>
      <w:r>
        <w:t xml:space="preserve">② 核心人物</w:t>
      </w:r>
      <w:bookmarkEnd w:id="22"/>
    </w:p>
    <w:p>
      <w:pPr>
        <w:pStyle w:val="BlockText"/>
      </w:pPr>
      <w:r>
        <w:rPr>
          <w:b/>
        </w:rPr>
        <w:t xml:space="preserve">李新宇</w:t>
      </w:r>
      <w:r>
        <w:t xml:space="preserve"> </w:t>
      </w:r>
      <w:r>
        <w:t xml:space="preserve">· 湖南长沙 · 创始人、董事长 · 全国五一劳动奖章获得者，联合发起</w:t>
      </w:r>
      <w:r>
        <w:t xml:space="preserve">“</w:t>
      </w:r>
      <w:r>
        <w:t xml:space="preserve">湖湘汇</w:t>
      </w:r>
      <w:r>
        <w:t xml:space="preserve">”</w:t>
      </w:r>
      <w:r>
        <w:t xml:space="preserve">、创办岳麓峰会，2008年带领公司深交所上市，与华为建立全方位战略合作</w:t>
      </w:r>
    </w:p>
    <w:p>
      <w:pPr>
        <w:pStyle w:val="Heading2"/>
      </w:pPr>
      <w:bookmarkStart w:id="23" w:name="技术与知识产权"/>
      <w:r>
        <w:t xml:space="preserve">③ 技术与知识产权</w:t>
      </w:r>
      <w:bookmarkEnd w:id="23"/>
    </w:p>
    <w:p>
      <w:pPr>
        <w:pStyle w:val="BlockText"/>
      </w:pPr>
      <w:r>
        <w:t xml:space="preserve">公司坚持全栈国产技术路线，基于华为鲲鹏CPU与昇腾AI加速器构建核心能力，累计获得发明专利58项、软件著作权1200余项、商标118条。拥有11项通用技术与16项特色技术组成的核心体系，OpenHarmony项目群A类候选捐赠人，发布自研</w:t>
      </w:r>
      <w:r>
        <w:t xml:space="preserve">“</w:t>
      </w:r>
      <w:r>
        <w:t xml:space="preserve">在鸿</w:t>
      </w:r>
      <w:r>
        <w:t xml:space="preserve">”</w:t>
      </w:r>
      <w:r>
        <w:t xml:space="preserve">操作系统。参与制定团体标准5项，2025年研发投入2.00亿元（占营收6.3%），研发人员784人。是国家规划布局内重点软件企业、中国互联网百强、信创百强。</w:t>
      </w:r>
    </w:p>
    <w:p>
      <w:pPr>
        <w:pStyle w:val="Heading2"/>
      </w:pPr>
      <w:bookmarkStart w:id="24" w:name="经济贡献与经营数据"/>
      <w:r>
        <w:t xml:space="preserve">④ 经济贡献与经营数据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2025年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营业总收入</w:t>
            </w:r>
          </w:p>
        </w:tc>
        <w:tc>
          <w:p>
            <w:pPr>
              <w:pStyle w:val="Compact"/>
              <w:jc w:val="left"/>
            </w:pPr>
            <w:r>
              <w:t xml:space="preserve">31.54亿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41.07亿</w:t>
            </w:r>
          </w:p>
        </w:tc>
        <w:tc>
          <w:p>
            <w:pPr>
              <w:pStyle w:val="Compact"/>
              <w:jc w:val="left"/>
            </w:pPr>
            <w:r>
              <w:t xml:space="preserve">31.71亿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营收同比增速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+30.22%</w:t>
            </w:r>
          </w:p>
        </w:tc>
        <w:tc>
          <w:p>
            <w:pPr>
              <w:pStyle w:val="Compact"/>
              <w:jc w:val="left"/>
            </w:pPr>
            <w:r>
              <w:t xml:space="preserve">-22.79%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毛利率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20.52%</w:t>
            </w:r>
          </w:p>
        </w:tc>
        <w:tc>
          <w:p>
            <w:pPr>
              <w:pStyle w:val="Compact"/>
              <w:jc w:val="left"/>
            </w:pPr>
            <w:r>
              <w:t xml:space="preserve">13.95%</w:t>
            </w:r>
          </w:p>
        </w:tc>
        <w:tc>
          <w:p>
            <w:pPr>
              <w:pStyle w:val="Compact"/>
              <w:jc w:val="left"/>
            </w:pPr>
            <w:r>
              <w:t xml:space="preserve">16.33%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归母净利润</w:t>
            </w:r>
          </w:p>
        </w:tc>
        <w:tc>
          <w:p>
            <w:pPr>
              <w:pStyle w:val="Compact"/>
              <w:jc w:val="left"/>
            </w:pPr>
            <w:r>
              <w:t xml:space="preserve">4,496万</w:t>
            </w:r>
          </w:p>
        </w:tc>
        <w:tc>
          <w:p>
            <w:pPr>
              <w:pStyle w:val="Compact"/>
              <w:jc w:val="left"/>
            </w:pPr>
            <w:r>
              <w:t xml:space="preserve">-1.005亿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6,374万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净利率</w:t>
            </w:r>
          </w:p>
        </w:tc>
        <w:tc>
          <w:p>
            <w:pPr>
              <w:pStyle w:val="Compact"/>
              <w:jc w:val="left"/>
            </w:pPr>
            <w:r>
              <w:t xml:space="preserve">1.51%</w:t>
            </w:r>
          </w:p>
        </w:tc>
        <w:tc>
          <w:p>
            <w:pPr>
              <w:pStyle w:val="Compact"/>
              <w:jc w:val="left"/>
            </w:pPr>
            <w:r>
              <w:t xml:space="preserve">-2.73%</w:t>
            </w:r>
          </w:p>
        </w:tc>
        <w:tc>
          <w:p>
            <w:pPr>
              <w:pStyle w:val="Compact"/>
              <w:jc w:val="left"/>
            </w:pPr>
            <w:r>
              <w:t xml:space="preserve">1.30%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经营活动现金流净额</w:t>
            </w:r>
          </w:p>
        </w:tc>
        <w:tc>
          <w:p>
            <w:pPr>
              <w:pStyle w:val="Compact"/>
              <w:jc w:val="left"/>
            </w:pPr>
            <w:r>
              <w:t xml:space="preserve">-11.70亿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7.75亿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7.78亿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研发投入</w:t>
            </w:r>
          </w:p>
        </w:tc>
        <w:tc>
          <w:p>
            <w:pPr>
              <w:pStyle w:val="Compact"/>
              <w:jc w:val="left"/>
            </w:pPr>
            <w:r>
              <w:t xml:space="preserve">1.80亿*</w:t>
            </w:r>
          </w:p>
        </w:tc>
        <w:tc>
          <w:p>
            <w:pPr>
              <w:pStyle w:val="Compact"/>
              <w:jc w:val="left"/>
            </w:pPr>
            <w:r>
              <w:t xml:space="preserve">2.556亿</w:t>
            </w:r>
          </w:p>
        </w:tc>
        <w:tc>
          <w:p>
            <w:pPr>
              <w:pStyle w:val="Compact"/>
              <w:jc w:val="left"/>
            </w:pPr>
            <w:r>
              <w:t xml:space="preserve">2.002亿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研发占营收比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6.22%</w:t>
            </w:r>
          </w:p>
        </w:tc>
        <w:tc>
          <w:p>
            <w:pPr>
              <w:pStyle w:val="Compact"/>
              <w:jc w:val="left"/>
            </w:pPr>
            <w:r>
              <w:t xml:space="preserve">6.31%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员工总数</w:t>
            </w:r>
          </w:p>
        </w:tc>
        <w:tc>
          <w:p>
            <w:pPr>
              <w:pStyle w:val="Compact"/>
              <w:jc w:val="left"/>
            </w:pPr>
            <w:r>
              <w:t xml:space="preserve">5,459人</w:t>
            </w:r>
          </w:p>
        </w:tc>
        <w:tc>
          <w:p>
            <w:pPr>
              <w:pStyle w:val="Compact"/>
              <w:jc w:val="left"/>
            </w:pPr>
            <w:r>
              <w:t xml:space="preserve">9,371人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9,806人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总资产</w:t>
            </w:r>
          </w:p>
        </w:tc>
        <w:tc>
          <w:p>
            <w:pPr>
              <w:pStyle w:val="Compact"/>
              <w:jc w:val="left"/>
            </w:pPr>
            <w:r>
              <w:t xml:space="preserve">49.76亿</w:t>
            </w:r>
          </w:p>
        </w:tc>
        <w:tc>
          <w:p>
            <w:pPr>
              <w:pStyle w:val="Compact"/>
              <w:jc w:val="left"/>
            </w:pPr>
            <w:r>
              <w:t xml:space="preserve">53.85亿</w:t>
            </w:r>
          </w:p>
        </w:tc>
        <w:tc>
          <w:p>
            <w:pPr>
              <w:pStyle w:val="Compact"/>
              <w:jc w:val="left"/>
            </w:pPr>
            <w:r>
              <w:t xml:space="preserve">40.38亿</w:t>
            </w:r>
          </w:p>
        </w:tc>
      </w:tr>
    </w:tbl>
    <w:p>
      <w:pPr>
        <w:pStyle w:val="BlockText"/>
      </w:pPr>
      <w:r>
        <w:t xml:space="preserve">*2023年研发投入为估算值。2024年营收增30%但转亏（毛利率从20.52%→13.95%），经营现金流从-11.70亿大幅改善至7.75亿。2025年营收降23%但毛利率回升至16.33%，费用管控下扭亏为盈，资产负债率从52%降至35%。</w:t>
      </w:r>
    </w:p>
    <w:p>
      <w:pPr>
        <w:pStyle w:val="Heading2"/>
      </w:pPr>
      <w:bookmarkStart w:id="25" w:name="供应链与区域布局"/>
      <w:r>
        <w:t xml:space="preserve">⑤ 供应链与区域布局</w:t>
      </w:r>
      <w:bookmarkEnd w:id="25"/>
    </w:p>
    <w:p>
      <w:pPr>
        <w:pStyle w:val="BlockText"/>
      </w:pPr>
      <w:r>
        <w:t xml:space="preserve">公司芯片全部基于华为鲲鹏CPU与昇腾AI加速器，实现全栈国产化，无外部依赖风险，与芯片原厂共建星火实验室进行三方协同研发。总部位于长沙，研发中心分布于深圳、北京、上海、西安，生产基地在长沙、贵州和成都。旗下子公司包括湘江鲲鹏（长沙，服务器生产）、云上鲲鹏（贵州，算力）、开鸿智谷（深圳，鸿蒙OS）、拓维海云天（深圳，考试系统）、火溶信息（游戏）及长征教育（教育）。</w:t>
      </w:r>
    </w:p>
    <w:p>
      <w:pPr>
        <w:pStyle w:val="Heading2"/>
      </w:pPr>
      <w:bookmarkStart w:id="26" w:name="竞争与市场结构"/>
      <w:r>
        <w:t xml:space="preserve">⑥ 竞争与市场结构</w:t>
      </w:r>
      <w:bookmarkEnd w:id="26"/>
    </w:p>
    <w:p>
      <w:pPr>
        <w:pStyle w:val="BlockText"/>
      </w:pPr>
      <w:r>
        <w:t xml:space="preserve">拓维信息在信创软件服务领域属于中规模企业（2025年营收约32亿元），主要竞争者包括东华软件（约120亿元，医疗金融IT）、软通动力（约180亿元，IT外包）、太极股份（约90亿元，党政信创）、神州数码及中科曙光。公司差异化优势在于：是华为唯一集鲲鹏、昇腾、鸿蒙、华为云四位于一体的生态合作伙伴，旗下海云天品牌在考试服务细分市场占据龙头地位，同时作为OpenHarmony行业发行版先行者已落地交通、教育、应急等场景，并具备兆瀚硬件加软件的完整交付能力。需关注的风险包括：营收持续下滑、扣非净利润仍为亏损、客户以政府和国企为主受政策周期影响较大、以及华为生态高度绑定带来的依赖风险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相关产品"/>
      <w:r>
        <w:t xml:space="preserve">相关产品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兆瀚RH系列服务器</w:t>
            </w:r>
          </w:p>
        </w:tc>
        <w:tc>
          <w:p>
            <w:pPr>
              <w:pStyle w:val="Compact"/>
              <w:jc w:val="left"/>
            </w:pPr>
            <w:r>
              <w:t xml:space="preserve">智能计算</w:t>
            </w:r>
          </w:p>
        </w:tc>
        <w:tc>
          <w:p>
            <w:pPr>
              <w:pStyle w:val="Compact"/>
              <w:jc w:val="left"/>
            </w:pPr>
            <w:r>
              <w:t xml:space="preserve">基于鲲鹏/昇腾的通用AI服务器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在鸿</w:t>
            </w:r>
            <w:r>
              <w:t xml:space="preserve">”</w:t>
            </w: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鸿蒙生态</w:t>
            </w:r>
          </w:p>
        </w:tc>
        <w:tc>
          <w:p>
            <w:pPr>
              <w:pStyle w:val="Compact"/>
              <w:jc w:val="left"/>
            </w:pPr>
            <w:r>
              <w:t xml:space="preserve">基于OpenHarmony的行业发行版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在线考试系统</w:t>
            </w:r>
          </w:p>
        </w:tc>
        <w:tc>
          <w:p>
            <w:pPr>
              <w:pStyle w:val="Compact"/>
              <w:jc w:val="left"/>
            </w:pPr>
            <w:r>
              <w:t xml:space="preserve">智慧教育</w:t>
            </w:r>
          </w:p>
        </w:tc>
        <w:tc>
          <w:p>
            <w:pPr>
              <w:pStyle w:val="Compact"/>
              <w:jc w:val="left"/>
            </w:pPr>
            <w:r>
              <w:t xml:space="preserve">海云天品牌，服务中高考等大型考试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AI收费稽核系统</w:t>
            </w:r>
          </w:p>
        </w:tc>
        <w:tc>
          <w:p>
            <w:pPr>
              <w:pStyle w:val="Compact"/>
              <w:jc w:val="left"/>
            </w:pPr>
            <w:r>
              <w:t xml:space="preserve">智慧交通</w:t>
            </w:r>
          </w:p>
        </w:tc>
        <w:tc>
          <w:p>
            <w:pPr>
              <w:pStyle w:val="Compact"/>
              <w:jc w:val="left"/>
            </w:pPr>
            <w:r>
              <w:t xml:space="preserve">高速公路AI解决方案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数据来源：拓维信息2024-2025年度报告（巨潮资讯网）| 东方财富数据中心 | 拓维信息官网（www.talkweb.com.cn）| 百度百科 · 数据截至2026年6月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2026-06-08T02:14:38Z</dcterms:created>
  <dcterms:modified xsi:type="dcterms:W3CDTF">2026-06-08T02:14:38Z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