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Pál Laura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pal.laura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2009.07.30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Nő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pal.laura@gmail.com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\O}34PsQ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\O}34PsQ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regisztráció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609975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