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00"/>
        <w:jc w:val="center"/>
      </w:pPr>
      <w:r>
        <w:rPr>
          <w:rFonts w:ascii="Georgia" w:cs="Georgia" w:eastAsia="Georgia" w:hAnsi="Georgia"/>
          <w:b/>
          <w:bCs/>
          <w:color w:val="1F3352"/>
          <w:spacing w:val="40"/>
          <w:sz w:val="38"/>
          <w:szCs w:val="38"/>
        </w:rPr>
        <w:t xml:space="preserve">K E B R A N E</w:t>
      </w:r>
    </w:p>
    <w:p>
      <w:pPr>
        <w:spacing w:after="50" w:before="100"/>
        <w:jc w:val="center"/>
      </w:pPr>
      <w:r>
        <w:rPr>
          <w:rFonts w:ascii="Georgia" w:cs="Georgia" w:eastAsia="Georgia" w:hAnsi="Georgia"/>
          <w:b/>
          <w:bCs/>
          <w:color w:val="1F3352"/>
          <w:sz w:val="31"/>
          <w:szCs w:val="31"/>
        </w:rPr>
        <w:t xml:space="preserve">Feuille de route — Protection de la marque</w:t>
      </w:r>
    </w:p>
    <w:p>
      <w:pPr>
        <w:spacing w:after="40" w:before="14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Verrouiller le nom avant d'investir. La leçon Orivane : les faits d'abord.</w:t>
      </w:r>
    </w:p>
    <w:p>
      <w:pPr>
        <w:spacing w:after="120" w:before="60"/>
        <w:jc w:val="center"/>
      </w:pPr>
      <w:r>
        <w:rPr>
          <w:rFonts w:ascii="Georgia" w:cs="Georgia" w:eastAsia="Georgia" w:hAnsi="Georgia"/>
          <w:color w:val="1F3352"/>
          <w:sz w:val="18"/>
          <w:szCs w:val="18"/>
        </w:rPr>
        <w:t xml:space="preserve">Document opérationnel   ·   Version 1.0   ·   29 juillet 2026</w:t>
      </w:r>
    </w:p>
    <w:p>
      <w:pPr>
        <w:pBdr>
          <w:bottom w:val="single" w:color="A5322C" w:sz="12" w:space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spacing w:after="140" w:line="284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Avertissement : ce document est un plan d'action, pas un avis juridique. Le screen initial ci-dessous est un premier filtre web ; la clearance réelle exige une recherche TMview / EUIPO / OAPI et, idéalement, un conseil en propriété industrielle. C'est ce contrôle officiel qui avait révélé le conflit sur Orivane — on ne s'en passe pas.</w:t>
      </w:r>
    </w:p>
    <w:p>
      <w:pPr>
        <w:keepNext/>
        <w:spacing w:after="130" w:before="300"/>
      </w:pPr>
      <w:r>
        <w:rPr>
          <w:rFonts w:ascii="Georgia" w:cs="Georgia" w:eastAsia="Georgia" w:hAnsi="Georgia"/>
          <w:b/>
          <w:bCs/>
          <w:color w:val="A5322C"/>
          <w:sz w:val="24"/>
          <w:szCs w:val="24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4"/>
          <w:szCs w:val="24"/>
        </w:rPr>
        <w:t xml:space="preserve">OÙ ON EN EST (screen initial)</w:t>
      </w:r>
    </w:p>
    <w:p>
      <w:pPr>
        <w:spacing w:after="110" w:line="284"/>
      </w:pP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Marque.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Aucune société ni marque commerciale « Kebrane » n'est ressortie du screen web. Encourageant, mais non concluant.</w:t>
      </w:r>
    </w:p>
    <w:p>
      <w:pPr>
        <w:spacing w:after="110" w:line="284"/>
      </w:pP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À noter.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« Kebrane Gabriel » est un monastère éthiopien du lac Tana — nom religieux/géographique, pas une marque. Risque commercial faible, mais à trancher en conscience.</w:t>
      </w:r>
    </w:p>
    <w:p>
      <w:pPr>
        <w:spacing w:after="110" w:line="284"/>
      </w:pP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Domaines.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kebrane.com est déjà enregistré (à toi, IONOS). kebrane.de et kebrane.eu sont libres ; kebrane.app ≈ 9,99 $/an ; kebrane.io ≈ 37,99 $/an.</w:t>
      </w:r>
    </w:p>
    <w:p>
      <w:pPr>
        <w:spacing w:after="110" w:line="284"/>
      </w:pPr>
      <w:r>
        <w:rPr>
          <w:rFonts w:ascii="Georgia" w:cs="Georgia" w:eastAsia="Georgia" w:hAnsi="Georgia"/>
          <w:b/>
          <w:bCs/>
          <w:color w:val="1F3352"/>
          <w:sz w:val="21"/>
          <w:szCs w:val="21"/>
        </w:rPr>
        <w:t xml:space="preserve">Handle.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@kebrane est déjà pris sur X (Twitter). Prévoir une variante, tenue partout.</w:t>
      </w:r>
    </w:p>
    <w:p>
      <w:pPr>
        <w:keepNext/>
        <w:spacing w:after="130" w:before="300"/>
      </w:pPr>
      <w:r>
        <w:rPr>
          <w:rFonts w:ascii="Georgia" w:cs="Georgia" w:eastAsia="Georgia" w:hAnsi="Georgia"/>
          <w:b/>
          <w:bCs/>
          <w:color w:val="A5322C"/>
          <w:sz w:val="24"/>
          <w:szCs w:val="24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4"/>
          <w:szCs w:val="24"/>
        </w:rPr>
        <w:t xml:space="preserve">ÉTAPE 1 — CLEARANCE OFFICIELLE (avant tout dépôt)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Recherche TMview sur KEBRANE et ses proches phonétiques, dans les classes visées et les territoires cibles (UE, Allemagne, France, zone OAPI / Cameroun).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Vérifier EUIPO (eSearch) et le registre OAPI directement.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Faire valider par un conseil en propriété industrielle : c'est le contrôle qui a sauvé la mise sur Orivane.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Ne rien annoncer publiquement avant la clearance.</w:t>
      </w:r>
    </w:p>
    <w:p>
      <w:pPr>
        <w:keepNext/>
        <w:spacing w:after="130" w:before="300"/>
      </w:pPr>
      <w:r>
        <w:rPr>
          <w:rFonts w:ascii="Georgia" w:cs="Georgia" w:eastAsia="Georgia" w:hAnsi="Georgia"/>
          <w:b/>
          <w:bCs/>
          <w:color w:val="A5322C"/>
          <w:sz w:val="24"/>
          <w:szCs w:val="24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4"/>
          <w:szCs w:val="24"/>
        </w:rPr>
        <w:t xml:space="preserve">ÉTAPE 2 — DÉPÔT DE MARQUE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EUIPO — classes de Nice 9 (logiciels, applications), 41 (éducation, formation) et 42 (SaaS, développement logiciel).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OAPI (Cameroun et zone OAPI) — mêmes classes.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Déposer d'abord la marque verbale « Kebrane ». Le logo figuratif se dépose plus tard, une fois le designer livré — surtout pas le tracé provisoire.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Conserver les preuves et dates de première utilisation.</w:t>
      </w:r>
    </w:p>
    <w:p>
      <w:pPr>
        <w:keepNext/>
        <w:spacing w:after="130" w:before="300"/>
      </w:pPr>
      <w:r>
        <w:rPr>
          <w:rFonts w:ascii="Georgia" w:cs="Georgia" w:eastAsia="Georgia" w:hAnsi="Georgia"/>
          <w:b/>
          <w:bCs/>
          <w:color w:val="A5322C"/>
          <w:sz w:val="24"/>
          <w:szCs w:val="24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4"/>
          <w:szCs w:val="24"/>
        </w:rPr>
        <w:t xml:space="preserve">ÉTAPE 3 — DOMAINES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Acheter kebrane.de chez IONOS (≈ 15 €/an, carte simple, jamais le bundle) — comme prévu.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Sécuriser les défensifs utiles : kebrane.eu, kebrane.app, kebrane.io.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Tout rattacher au même compte, renouvellement automatique activé.</w:t>
      </w:r>
    </w:p>
    <w:p>
      <w:pPr>
        <w:keepNext/>
        <w:spacing w:after="130" w:before="300"/>
      </w:pPr>
      <w:r>
        <w:rPr>
          <w:rFonts w:ascii="Georgia" w:cs="Georgia" w:eastAsia="Georgia" w:hAnsi="Georgia"/>
          <w:b/>
          <w:bCs/>
          <w:color w:val="A5322C"/>
          <w:sz w:val="24"/>
          <w:szCs w:val="24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4"/>
          <w:szCs w:val="24"/>
        </w:rPr>
        <w:t xml:space="preserve">ÉTAPE 4 — HANDLES SOCIAUX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@kebrane étant pris, choisir UNE variante et la tenir partout : par ex. @kebraneHQ, @wearekebrane ou @getkebrane.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Bloquer sur X, Instagram, LinkedIn (page), TikTok, YouTube et GitHub (organisation), même sans activité immédiate.</w:t>
      </w:r>
    </w:p>
    <w:p>
      <w:pPr>
        <w:spacing w:after="90" w:line="280"/>
        <w:ind w:left="340" w:hanging="340"/>
      </w:pPr>
      <w:r>
        <w:rPr>
          <w:rFonts w:ascii="Georgia" w:cs="Georgia" w:eastAsia="Georgia" w:hAnsi="Georgia"/>
          <w:b/>
          <w:bCs/>
          <w:color w:val="A5322C"/>
          <w:sz w:val="21"/>
          <w:szCs w:val="21"/>
        </w:rPr>
        <w:t xml:space="preserve">– 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La cohérence du handle vaut mieux que le handle parfait : même nom partout.</w:t>
      </w:r>
    </w:p>
    <w:p>
      <w:pPr>
        <w:keepNext/>
        <w:spacing w:after="130" w:before="300"/>
      </w:pPr>
      <w:r>
        <w:rPr>
          <w:rFonts w:ascii="Georgia" w:cs="Georgia" w:eastAsia="Georgia" w:hAnsi="Georgia"/>
          <w:b/>
          <w:bCs/>
          <w:color w:val="A5322C"/>
          <w:sz w:val="24"/>
          <w:szCs w:val="24"/>
        </w:rPr>
        <w:t xml:space="preserve">—  </w:t>
      </w:r>
      <w:r>
        <w:rPr>
          <w:rFonts w:ascii="Georgia" w:cs="Georgia" w:eastAsia="Georgia" w:hAnsi="Georgia"/>
          <w:b/>
          <w:bCs/>
          <w:color w:val="1F3352"/>
          <w:sz w:val="24"/>
          <w:szCs w:val="24"/>
        </w:rPr>
        <w:t xml:space="preserve">ORDRE &amp; RÈGLE</w:t>
      </w:r>
    </w:p>
    <w:p>
      <w:pPr>
        <w:spacing w:after="140" w:line="284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Ordre : clearance officielle → dépôt de la marque verbale → domaines et handles (en parallèle) → dépôt du logo figuratif au retour du designer. Règle : aucune dépense de design public ni de communication avant la clearance.</w:t>
      </w:r>
    </w:p>
    <w:p>
      <w:pPr>
        <w:pBdr>
          <w:top w:val="single" w:color="A5322C" w:sz="18" w:space="10"/>
        </w:pBdr>
        <w:spacing w:after="120" w:before="300" w:line="300"/>
        <w:ind w:left="220" w:right="220"/>
      </w:pPr>
      <w:r>
        <w:rPr>
          <w:rFonts w:ascii="Georgia" w:cs="Georgia" w:eastAsia="Georgia" w:hAnsi="Georgia"/>
          <w:i/>
          <w:iCs/>
          <w:color w:val="A5322C"/>
          <w:sz w:val="21"/>
          <w:szCs w:val="21"/>
        </w:rPr>
        <w:t xml:space="preserve">Un nom qu'on n'a pas verrouillé n'est pas encore le sien. Les faits d'abord, l'attachement en dernier.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Feuille de route — Protection de la marque Kebrane</dc:title>
  <dc:creator>Kebrane</dc:creator>
  <cp:lastModifiedBy>Un-named</cp:lastModifiedBy>
  <cp:revision>1</cp:revision>
  <dcterms:created xsi:type="dcterms:W3CDTF">2026-07-30T01:38:27.793Z</dcterms:created>
  <dcterms:modified xsi:type="dcterms:W3CDTF">2026-07-30T01:38:27.797Z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