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Research Highlights</w:t>
      </w:r>
    </w:p>
    <w:p>
      <w:pPr>
        <w:spacing w:after="400"/>
      </w:pPr>
      <w:r>
        <w:rPr>
          <w:rFonts w:ascii="Arial" w:cs="Arial" w:eastAsia="Arial" w:hAnsi="Arial"/>
          <w:i/>
          <w:iCs/>
          <w:sz w:val="22"/>
          <w:szCs w:val="22"/>
        </w:rPr>
        <w:t xml:space="preserve">Multi-Objective Pareto Hyperparameter Optimization for Joint Detection and Localization of Forged Identity Documents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Arial" w:cs="Arial" w:eastAsia="Arial" w:hAnsi="Arial"/>
          <w:sz w:val="22"/>
          <w:szCs w:val="22"/>
        </w:rPr>
        <w:t xml:space="preserve">Multi-objective Pareto HPO for joint forgery detection and localization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Arial" w:cs="Arial" w:eastAsia="Arial" w:hAnsi="Arial"/>
          <w:sz w:val="22"/>
          <w:szCs w:val="22"/>
        </w:rPr>
        <w:t xml:space="preserve">DocVerify: lightweight multitask CNN with U-Net decoder for ID documents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Arial" w:cs="Arial" w:eastAsia="Arial" w:hAnsi="Arial"/>
          <w:sz w:val="22"/>
          <w:szCs w:val="22"/>
        </w:rPr>
        <w:t xml:space="preserve">10-fold nested CV with 500 MOTPE trials; rigorous statistical evaluation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Arial" w:cs="Arial" w:eastAsia="Arial" w:hAnsi="Arial"/>
          <w:sz w:val="22"/>
          <w:szCs w:val="22"/>
        </w:rPr>
        <w:t xml:space="preserve">PR-AUC 0.9921±0.006, Dice 0.856±0.030 on FantasyID benchmark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Arial" w:cs="Arial" w:eastAsia="Arial" w:hAnsi="Arial"/>
          <w:sz w:val="22"/>
          <w:szCs w:val="22"/>
        </w:rPr>
        <w:t xml:space="preserve">Pareto HPO yields large-effect Dice gain over equal-weight training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2026-03-20T00:20:12.611Z</dcterms:created>
  <dcterms:modified xsi:type="dcterms:W3CDTF">2026-03-20T00:20:12.612Z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