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Cover Letter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Pattern Recognition Letters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Editorial Office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Dear Editor,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are pleased to submit our manuscript entitled: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“Mult-Objective Pareto Hyperparameter Optimization for Joint Detection and Localization of Forged Identity Documents”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for consideration for publication in Pattern Recognition Letters.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Why this paper fits PRL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manuscript addresses a concise, self-contained methodological contribution at the intersection of multi-task learning, hyperparameter optimization, and forensic document analysis — exactly the scope of PRL. The paper introduces DocVerify, a lightweight multi-task CNN paired with a multi-objective Pareto HPO framework that treats PR-AUC and Dice as simultaneous optimization objectives, avoiding the need to manually fix the task loss weight λ. The contribution is evaluated under a rigorous 10-fold nested cross-validation protocol with 500 MOTPE trials and statistical validation (Wilcoxon + Holm–Bonferroni, 30 seeds).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State-of-the-art comparison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current state of the art for identity document forgery detection and localization includes the following key works, all cited in the paper: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Guillaro et al. (CVPR 2023) — TruFor: </w:t>
      </w:r>
      <w:r>
        <w:rPr>
          <w:rFonts w:ascii="Arial" w:cs="Arial" w:eastAsia="Arial" w:hAnsi="Arial"/>
          <w:sz w:val="22"/>
          <w:szCs w:val="22"/>
        </w:rPr>
        <w:t xml:space="preserve">leverages NoisePrint++ and transformer fusion for general image forensics; achieves strong benchmarks on natural images but transfers poorly to identity documents (false-negative rate &gt;50% on FantasyID).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George &amp; Marcel (Idiap RR 2025) — EdgeDoc: </w:t>
      </w:r>
      <w:r>
        <w:rPr>
          <w:rFonts w:ascii="Arial" w:cs="Arial" w:eastAsia="Arial" w:hAnsi="Arial"/>
          <w:sz w:val="22"/>
          <w:szCs w:val="22"/>
        </w:rPr>
        <w:t xml:space="preserve">hybrid CNN-Transformer (EdgeNeXt) with U-Net decoder; 3rd place in the DeepID 2025 Challenge; trained exclusively on FantasyID.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 Yu et al. (AAAI 2025) — Re-MTKD / Sunlight: </w:t>
      </w:r>
      <w:r>
        <w:rPr>
          <w:rFonts w:ascii="Arial" w:cs="Arial" w:eastAsia="Arial" w:hAnsi="Arial"/>
          <w:sz w:val="22"/>
          <w:szCs w:val="22"/>
        </w:rPr>
        <w:t xml:space="preserve">reinforcement-learning multi-teacher knowledge distillation with ConvNeXt-v2 encoder; 1st place in both tracks of DeepID 2025 using 60,000+ additional external images.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 Kendall et al. (CVPR 2018) — Multi-task learning using uncertainty: </w:t>
      </w:r>
      <w:r>
        <w:rPr>
          <w:rFonts w:ascii="Arial" w:cs="Arial" w:eastAsia="Arial" w:hAnsi="Arial"/>
          <w:sz w:val="22"/>
          <w:szCs w:val="22"/>
        </w:rPr>
        <w:t xml:space="preserve">the most widely used scalar scalarization baseline for multi-task loss weighting, against which our Pareto approach is implicitly compared.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 Ozaki et al. (JAIR 2022) — MOTPE: </w:t>
      </w:r>
      <w:r>
        <w:rPr>
          <w:rFonts w:ascii="Arial" w:cs="Arial" w:eastAsia="Arial" w:hAnsi="Arial"/>
          <w:sz w:val="22"/>
          <w:szCs w:val="22"/>
        </w:rPr>
        <w:t xml:space="preserve">the multi-objective TPE algorithm used as the HPO engine; our paper provides the first application of MOTPE to joint document forgery detection/localization within a nested CV framework.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DocVerify differs from all prior document-forensics systems in that it (i) systematically searches the task weight via multi-objective HPO, (ii) selects configurations via a Pareto-optimal criterion requiring no manual objective weighting, and (iii) reports uncertainty via nested cross-validation with full statistical testing.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Dataset and evaluation protocol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standard public benchmark for this problem is FantasyID (Korshunov et al., IJCB 2025 / DeepID 2025 Challenge), the only publicly available large-scale dataset of synthetic identity documents with pixel-level forgery annotations. We use all 3,284 available images, applying a GroupShuffleSplit (by document identity) to obtain an 85/15 development/holdout split.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standard evaluation metrics are those defined by the DeepID 2025 Challenge: F1@0.5 (Track 1, detection) and per-image pixel-level F1 (Track 2, localization). We additionally report PR-AUC and Dice. All metrics align with the challenge protocol.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Note: DocVerify was developed after the DeepID 2025 Challenge submission deadline had closed, so official test-set evaluation was not possible. Results are reported on our internal holdout; comparison with challenge participants is therefore indicative rather than strictly controlled, and this caveat is clearly stated in the paper.</w:t>
      </w:r>
    </w:p>
    <w:p>
      <w:pPr>
        <w:pBdr>
          <w:bottom w:val="single" w:color="888888" w:sz="6" w:space="1"/>
        </w:pBdr>
        <w:spacing w:after="200" w:before="20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Additional declarations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manuscript has not been published elsewhere and is not under consideration at any other journal.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work does not build upon a prior conference paper.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authors have read and approved the final manuscript.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source code and experimental artifacts are publicly available at https://github.com/HernanDiaz/IDVerify/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We believe this work will be of interest to the PRL readership working on image forensics, multi-task learning, and hyperparameter optimization. We thank the editors and reviewers for their time and consideration.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Yours sincerely,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Hernán Díaz Rodríguez (Corresponding author)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Rafael González Quesada</w:t>
      </w:r>
    </w:p>
    <w:p>
      <w:pPr>
        <w:spacing w:after="8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Department of Computer Science, University of Oviedo, Asturias, Spain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diazhernan@uniovi.es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2026-03-19T00:45:11.157Z</dcterms:created>
  <dcterms:modified xsi:type="dcterms:W3CDTF">2026-03-19T00:45:11.158Z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