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sz w:val="28"/>
          <w:szCs w:val="28"/>
        </w:rPr>
        <w:t xml:space="preserve">Highlights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Multi-objective Pareto HPO for joint forgery detection and localization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DocVerify: lightweight multitask CNN with U-Net decoder for ID documents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10-fold nested CV with 500 MOTPE trials; rigorous statistical evaluation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PR-AUC 0.9921±0.006, Dice 0.856±0.030 on FantasyID benchmark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Pareto HPO yields large-effect Dice gain over equal-weight training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2026-07-09T11:19:08.889Z</dcterms:created>
  <dcterms:modified xsi:type="dcterms:W3CDTF">2026-07-09T11:19:08.891Z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