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Response to Reviewers — Round 2 (Minor Revision)</w:t>
      </w:r>
    </w:p>
    <w:p>
      <w:pPr>
        <w:spacing w:after="120"/>
      </w:pPr>
      <w:r>
        <w:rPr>
          <w:b/>
          <w:bCs/>
        </w:rPr>
        <w:t xml:space="preserve">Manuscript:</w:t>
      </w:r>
      <w:r>
        <w:t xml:space="preserve"> PRLETTERS-D-26-00496R1 </w:t>
      </w:r>
      <w:r>
        <w:rPr>
          <w:b/>
          <w:bCs/>
        </w:rPr>
        <w:t xml:space="preserve">Title:</w:t>
      </w:r>
      <w:r>
        <w:t xml:space="preserve"> Multi-Objective Pareto hyperparameter optimization for joint detection and localization of forged identity documents </w:t>
      </w:r>
      <w:r>
        <w:rPr>
          <w:b/>
          <w:bCs/>
        </w:rPr>
        <w:t xml:space="preserve">Author:</w:t>
      </w:r>
      <w:r>
        <w:t xml:space="preserve"> Hernán Díaz Rodríguez</w:t>
      </w:r>
    </w:p>
    <w:p>
      <w:pPr>
        <w:spacing w:after="120"/>
      </w:pPr>
      <w:r>
        <w:t xml:space="preserve">We thank the Associate Editor and both reviewers for their positive assessment and for the concrete, constructive suggestions. We are grateful to Reviewer 1 for recommending acceptance and verifying the Zenodo archive, and to Reviewer 2 for the careful reading that sharpened the statistical claims. All requested changes are editorial/interpretive; no new experiments were required. Round-2 changes are highlighted in blue in the revised PDF (round-1 changes are now shown as normal text). Section references below point to the revised manuscript.</w:t>
      </w:r>
    </w:p>
    <w:p>
      <w:pPr>
        <w:pBdr>
          <w:bottom w:val="single" w:color="DDDDDD" w:sz="4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Associate Editor</w:t>
      </w:r>
    </w:p>
    <w:p>
      <w:pPr>
        <w:pBdr>
          <w:left w:val="single" w:color="AAAAAA" w:sz="12" w:space="8"/>
        </w:pBdr>
        <w:spacing w:after="120"/>
        <w:ind w:left="480"/>
      </w:pPr>
      <w:r>
        <w:rPr>
          <w:i/>
          <w:iCs/>
          <w:color w:val="555555"/>
        </w:rPr>
        <w:t xml:space="preserve">Please make a minor editorial revision to ensure that the discussion of the Pareto versus scalar selection results accurately reflects the statistical significance reported in Table 3 and briefly acknowledge the limited zero-shot generalization to SIDTD in the abstract and discussion. No additional experiments are required.</w:t>
      </w:r>
    </w:p>
    <w:p>
      <w:pPr>
        <w:spacing w:after="120"/>
      </w:pPr>
      <w:r>
        <w:rPr>
          <w:b/>
          <w:bCs/>
        </w:rPr>
        <w:t xml:space="preserve">Response:</w:t>
      </w:r>
      <w:r>
        <w:t xml:space="preserve"> All three requests are addressed and no new experiments were needed. (i) The Pareto-vs-scalar discussion in Sec. 4.4 has been rewritten to match the significance actually reported (see R2.1). (ii) The abstract now acknowledges the bounded in-domain scope and the near-chance zero-shot SIDTD result (see R2.3-abstract). (iii) The Discussion (Sec. 5.2, Generalization) already noted the near-chance zero-shot transfer to SIDTD and now also states that standard augmentation does not close the gap (see R2.2).</w:t>
      </w:r>
    </w:p>
    <w:p>
      <w:pPr>
        <w:spacing w:after="120"/>
      </w:pPr>
      <w:r>
        <w:rPr>
          <w:b/>
          <w:bCs/>
        </w:rPr>
        <w:t xml:space="preserve">Changes:</w:t>
      </w:r>
      <w:r>
        <w:t xml:space="preserve"> Sec. 4.4 recalibrated; the Pareto-vs-scalar sentence in the Discussion aligned with it; abstract sentence added; Discussion generalization paragraph extended. All changes are highlighted in blue.</w:t>
      </w:r>
    </w:p>
    <w:p>
      <w:pPr>
        <w:pBdr>
          <w:bottom w:val="single" w:color="DDDDDD" w:sz="4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Editor-in-Chief checklist</w:t>
      </w:r>
    </w:p>
    <w:p>
      <w:pPr>
        <w:spacing w:after="80"/>
        <w:ind w:left="600" w:hanging="300"/>
      </w:pPr>
      <w:r>
        <w:rPr>
          <w:b w:val="false"/>
          <w:bCs w:val="false"/>
        </w:rPr>
        <w:t xml:space="preserve">1.	</w:t>
      </w:r>
      <w:r>
        <w:rPr>
          <w:b/>
          <w:bCs/>
        </w:rPr>
        <w:t xml:space="preserve">Title (&lt;=10–15 words, grammatical).</w:t>
      </w:r>
      <w:r>
        <w:t xml:space="preserve"> Compliant: the title is 13 words and unchanged.</w:t>
      </w:r>
    </w:p>
    <w:p>
      <w:pPr>
        <w:spacing w:after="80"/>
        <w:ind w:left="600" w:hanging="300"/>
      </w:pPr>
      <w:r>
        <w:rPr>
          <w:b w:val="false"/>
          <w:bCs w:val="false"/>
        </w:rPr>
        <w:t xml:space="preserve">2.	</w:t>
      </w:r>
      <w:r>
        <w:rPr>
          <w:b/>
          <w:bCs/>
        </w:rPr>
        <w:t xml:space="preserve">Conclusions reflect strengths and weaknesses, differ from the abstract, longer.</w:t>
      </w:r>
      <w:r>
        <w:t xml:space="preserve"> Done. The Conclusion now adds a paragraph that contrasts the method's strengths (no manual loss-weight tuning; the MOTPE protocol transfers to a ResNet-18 backbone, so the contribution is methodological not architecture-specific; the evaluation is fully reproducible with openly archived per-seed results) against its limitations (the Pareto-over-scalar advantage is partial and concentrated in localization; performance is bounded to the in-domain FantasyID setting, with near-chance zero-shot on SIDTD not closed by augmentation; the nested protocol is computationally heavy). The Pareto-vs-scalar statement in finding (i) was recalibrated to match Sec. 4.4.</w:t>
      </w:r>
    </w:p>
    <w:p>
      <w:pPr>
        <w:spacing w:after="80"/>
        <w:ind w:left="600" w:hanging="300"/>
      </w:pPr>
      <w:r>
        <w:rPr>
          <w:b w:val="false"/>
          <w:bCs w:val="false"/>
        </w:rPr>
        <w:t xml:space="preserve">3.	</w:t>
      </w:r>
      <w:r>
        <w:rPr>
          <w:b/>
          <w:bCs/>
        </w:rPr>
        <w:t xml:space="preserve">Bibliography well organized (~30 items, not excessive arXiv / single series).</w:t>
      </w:r>
      <w:r>
        <w:t xml:space="preserve"> Done. We reduced the visible arXiv presence without dropping references. Two items previously cited as arXiv preprints are now cited by their published venue: TruFor (Guillaro et al., CVPR 2023) and FantasyID (Korshunov et al., IJCB 2025). For five further entries that were already published but carried a residual arXiv identifier (EdgeNeXt, FakeIDet, FatFormer, MMFusion, UniFD), we removed the arXiv tag so they cite only the published venue. Only one arXiv-only item now remains (the EdgeDoc challenge report, which has no formal venue). We also removed three non-essential citations (a threat report, a regulatory reference, and one of a pair of general-forensics examples) to offset the related work newly added under item 4, so the list holds 32 items, no single conference series dominates, and grouped citations are discussed individually.</w:t>
      </w:r>
    </w:p>
    <w:p>
      <w:pPr>
        <w:spacing w:after="80"/>
        <w:ind w:left="600" w:hanging="300"/>
      </w:pPr>
      <w:r>
        <w:rPr>
          <w:b w:val="false"/>
          <w:bCs w:val="false"/>
        </w:rPr>
        <w:t xml:space="preserve">4.	</w:t>
      </w:r>
      <w:r>
        <w:rPr>
          <w:b/>
          <w:bCs/>
        </w:rPr>
        <w:t xml:space="preserve">Relevance to the Pattern Recognition Letters readership.</w:t>
      </w:r>
      <w:r>
        <w:t xml:space="preserve"> We have strengthened the manuscript's positioning within the journal's scope. Section 2.1 now situates our approach relative to recent related work on deepfake and face-manipulation detection published in Pattern Recognition Letters (Liang et al., 2023; Leporoni et al., 2024; Wang et al., 2024), each discussed individually, better connecting our document-forgery contribution to ongoing forensics research in the journal.</w:t>
      </w:r>
    </w:p>
    <w:p>
      <w:pPr>
        <w:spacing w:after="80"/>
        <w:ind w:left="600" w:hanging="300"/>
      </w:pPr>
      <w:r>
        <w:rPr>
          <w:b w:val="false"/>
          <w:bCs w:val="false"/>
        </w:rPr>
        <w:t xml:space="preserve">5.	</w:t>
      </w:r>
      <w:r>
        <w:rPr>
          <w:b/>
          <w:bCs/>
        </w:rPr>
        <w:t xml:space="preserve">Format: single-spaced, double-column, &lt;=8 pages.</w:t>
      </w:r>
      <w:r>
        <w:t xml:space="preserve"> Compliant: the paper uses the elsarticle two-column (5p) format and fits within 8 pages including references.</w:t>
      </w:r>
    </w:p>
    <w:p>
      <w:pPr>
        <w:pBdr>
          <w:bottom w:val="single" w:color="DDDDDD" w:sz="4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Reviewer 1 (recommends acceptance)</w:t>
      </w:r>
    </w:p>
    <w:p>
      <w:pPr>
        <w:pBdr>
          <w:left w:val="single" w:color="AAAAAA" w:sz="12" w:space="8"/>
        </w:pBdr>
        <w:spacing w:after="120"/>
        <w:ind w:left="480"/>
      </w:pPr>
      <w:r>
        <w:rPr>
          <w:i/>
          <w:iCs/>
          <w:color w:val="555555"/>
        </w:rPr>
        <w:t xml:space="preserve">TruFor fine-tuned (R1.3): ... A footnote in Sec. 4.5 would improve completeness.</w:t>
      </w:r>
    </w:p>
    <w:p>
      <w:pPr>
        <w:spacing w:after="120"/>
      </w:pPr>
      <w:r>
        <w:rPr>
          <w:b/>
          <w:bCs/>
        </w:rPr>
        <w:t xml:space="preserve">Response:</w:t>
      </w:r>
      <w:r>
        <w:t xml:space="preserve"> We thank Reviewer 1 for recommending acceptance and verifying the Zenodo archive. As suggested, we added a footnote in Sec. 4.5 noting that a controlled comparison against a FantasyID-fine-tuned TruFor, evaluated on the same internal holdout, is released with the code (</w:t>
      </w:r>
      <w:r>
        <w:rPr>
          <w:rFonts w:ascii="Consolas" w:cs="Consolas" w:eastAsia="Consolas" w:hAnsi="Consolas"/>
          <w:sz w:val="20"/>
          <w:szCs w:val="20"/>
        </w:rPr>
        <w:t xml:space="preserve">trufor_finetuned_scores.csv</w:t>
      </w:r>
      <w:r>
        <w:t xml:space="preserve">), which improves the completeness of the section.</w:t>
      </w:r>
    </w:p>
    <w:p>
      <w:pPr>
        <w:spacing w:after="120"/>
      </w:pPr>
      <w:r>
        <w:rPr>
          <w:b/>
          <w:bCs/>
        </w:rPr>
        <w:t xml:space="preserve">Changes:</w:t>
      </w:r>
      <w:r>
        <w:t xml:space="preserve"> Sec. 4.5: added a footnote pointing to the released fine-tuned-TruFor controlled comparison.</w:t>
      </w:r>
    </w:p>
    <w:p>
      <w:pPr>
        <w:pBdr>
          <w:bottom w:val="single" w:color="DDDDDD" w:sz="4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Reviewer 2 (minor revision)</w:t>
      </w:r>
    </w:p>
    <w:p>
      <w:pPr>
        <w:pStyle w:val="Heading3"/>
      </w:pPr>
      <w:r>
        <w:t xml:space="preserve">R2.1 — Recalibrate Sec. 4.4 Pareto-vs-scalar claims</w:t>
      </w:r>
    </w:p>
    <w:p>
      <w:pPr>
        <w:pBdr>
          <w:left w:val="single" w:color="AAAAAA" w:sz="12" w:space="8"/>
        </w:pBdr>
        <w:spacing w:after="120"/>
        <w:ind w:left="480"/>
      </w:pPr>
      <w:r>
        <w:rPr>
          <w:i/>
          <w:iCs/>
          <w:color w:val="555555"/>
        </w:rPr>
        <w:t xml:space="preserve">The blanket phrasing overstates what is, in fact, a partial and metric-specific advantage ... state precisely which metrics were significant and which were not ... discuss the practical magnitude of the gains alongside the statistical significance.</w:t>
      </w:r>
    </w:p>
    <w:p>
      <w:pPr>
        <w:spacing w:after="120"/>
      </w:pPr>
      <w:r>
        <w:rPr>
          <w:b/>
          <w:bCs/>
        </w:rPr>
        <w:t xml:space="preserve">Response:</w:t>
      </w:r>
      <w:r>
        <w:t xml:space="preserve"> We agree, and we have rewritten the passage in Sec. 4.4 to report the significance and effect sizes precisely rather than as a blanket claim. The revised text states that, against </w:t>
      </w:r>
      <w:r>
        <w:rPr>
          <w:rFonts w:ascii="Consolas" w:cs="Consolas" w:eastAsia="Consolas" w:hAnsi="Consolas"/>
          <w:sz w:val="20"/>
          <w:szCs w:val="20"/>
        </w:rPr>
        <w:t xml:space="preserve">by_dice</w:t>
      </w:r>
      <w:r>
        <w:t xml:space="preserve">, Pareto is significantly better (Holm-corrected) on four of five metrics (PR-AUC p=0.007, Dice p&lt;0.001, balanced accuracy p=0.040, F1-macro p=0.043), with only the Dice gain reaching a large effect (d=1.00); and that against </w:t>
      </w:r>
      <w:r>
        <w:rPr>
          <w:rFonts w:ascii="Consolas" w:cs="Consolas" w:eastAsia="Consolas" w:hAnsi="Consolas"/>
          <w:sz w:val="20"/>
          <w:szCs w:val="20"/>
        </w:rPr>
        <w:t xml:space="preserve">by_prauc</w:t>
      </w:r>
      <w:r>
        <w:t xml:space="preserve"> only Dice (p=0.043) and F1-macro (p=0.050, exactly at the threshold) are significant, while PR-AUC, balanced accuracy and F1-attack are not (p&gt;0.06). We further note that the remaining effect sizes are small-to-medium (d≈0.4–0.65) and the absolute gains modest (Δ≲0.02), so the practical benefit is concentrated in localization quality, the broader value being that distance-to-ideal selection attains this without committing a priori to a primary objective. The full five-metric paired statistics are given in Supplementary Table S4.</w:t>
      </w:r>
    </w:p>
    <w:p>
      <w:pPr>
        <w:spacing w:after="120"/>
      </w:pPr>
      <w:r>
        <w:rPr>
          <w:b/>
          <w:bCs/>
        </w:rPr>
        <w:t xml:space="preserve">Changes:</w:t>
      </w:r>
      <w:r>
        <w:t xml:space="preserve"> Sec. 4.4: replaced "Pareto significantly outperforms both scalar criteria after Holm correction ..." with a metric-specific statement of which comparisons are significant and which are not, their effect sizes, and their practical magnitude, with a pointer to Supplementary Table S4.</w:t>
      </w:r>
    </w:p>
    <w:p>
      <w:pPr>
        <w:pStyle w:val="Heading3"/>
      </w:pPr>
      <w:r>
        <w:t xml:space="preserve">R2.2 — Integrate the cross-domain augmentation result (Table S8) into the main text</w:t>
      </w:r>
    </w:p>
    <w:p>
      <w:pPr>
        <w:pBdr>
          <w:left w:val="single" w:color="AAAAAA" w:sz="12" w:space="8"/>
        </w:pBdr>
        <w:spacing w:after="120"/>
        <w:ind w:left="480"/>
      </w:pPr>
      <w:r>
        <w:rPr>
          <w:i/>
          <w:iCs/>
          <w:color w:val="555555"/>
        </w:rPr>
        <w:t xml:space="preserve">... deserves at least a brief mention in the main text rather than only in the supplement.</w:t>
      </w:r>
    </w:p>
    <w:p>
      <w:pPr>
        <w:spacing w:after="120"/>
      </w:pPr>
      <w:r>
        <w:rPr>
          <w:b/>
          <w:bCs/>
        </w:rPr>
        <w:t xml:space="preserve">Response:</w:t>
      </w:r>
      <w:r>
        <w:t xml:space="preserve"> We have brought this result into the main text. The Discussion (Sec. 5.2, Generalization) now states that standard augmentation does not close the cross-domain gap: augmentation-trained models remain at near-chance zero-shot on SIDTD (Supplementary Table S8), indicating the gap reflects domain shift rather than limited input variability.</w:t>
      </w:r>
    </w:p>
    <w:p>
      <w:pPr>
        <w:spacing w:after="120"/>
      </w:pPr>
      <w:r>
        <w:rPr>
          <w:b/>
          <w:bCs/>
        </w:rPr>
        <w:t xml:space="preserve">Changes:</w:t>
      </w:r>
      <w:r>
        <w:t xml:space="preserve"> Sec. 5.2 (Generalization): added a sentence integrating the augmentation-vs-SIDTD null result (Supplementary Table S8) into the main text.</w:t>
      </w:r>
    </w:p>
    <w:p>
      <w:pPr>
        <w:pStyle w:val="Heading3"/>
      </w:pPr>
      <w:r>
        <w:t xml:space="preserve">R2.3 — Move response-letter-only justifications into the supplementary material</w:t>
      </w:r>
    </w:p>
    <w:p>
      <w:pPr>
        <w:pBdr>
          <w:left w:val="single" w:color="AAAAAA" w:sz="12" w:space="8"/>
        </w:pBdr>
        <w:spacing w:after="120"/>
        <w:ind w:left="480"/>
      </w:pPr>
      <w:r>
        <w:rPr>
          <w:i/>
          <w:iCs/>
          <w:color w:val="555555"/>
        </w:rPr>
        <w:t xml:space="preserve">computational cost breakdown, full pos_weight sensitivity table ... should be incorporated ... into the supplementary material ... for long-term traceability.</w:t>
      </w:r>
    </w:p>
    <w:p>
      <w:pPr>
        <w:spacing w:after="120"/>
      </w:pPr>
      <w:r>
        <w:rPr>
          <w:b/>
          <w:bCs/>
        </w:rPr>
        <w:t xml:space="preserve">Response:</w:t>
      </w:r>
      <w:r>
        <w:t xml:space="preserve"> Both justifications now live in the supplementary material rather than only in the review correspondence. The full pos_weight sensitivity table is already present (Supplementary Sec. S2, Table S2). We have additionally re-added the computational-cost breakdown as a new supplementary section (Sec. S9, Table S9), reporting the wall-clock cost per phase (nested HPO ~50 h, outer final models ~1 h, blind-test ablation ~12 h; ~59–63 h total) and the practical deployment cost of 7.7 ± 1.0 min per seed. Long-term traceability is thus independent of the response letter.</w:t>
      </w:r>
    </w:p>
    <w:p>
      <w:pPr>
        <w:spacing w:after="120"/>
      </w:pPr>
      <w:r>
        <w:rPr>
          <w:b/>
          <w:bCs/>
        </w:rPr>
        <w:t xml:space="preserve">Changes:</w:t>
      </w:r>
      <w:r>
        <w:t xml:space="preserve"> Supplementary: added Sec. S9 "Computational cost breakdown" (Table S9). The full pos_weight sensitivity table was already present as Table S2.</w:t>
      </w:r>
    </w:p>
    <w:p>
      <w:pPr>
        <w:pStyle w:val="Heading3"/>
      </w:pPr>
      <w:r>
        <w:t xml:space="preserve">R2.3 (abstract) — Acknowledge bounded in-domain scope</w:t>
      </w:r>
    </w:p>
    <w:p>
      <w:pPr>
        <w:pBdr>
          <w:left w:val="single" w:color="AAAAAA" w:sz="12" w:space="8"/>
        </w:pBdr>
        <w:spacing w:after="120"/>
        <w:ind w:left="480"/>
      </w:pPr>
      <w:r>
        <w:rPr>
          <w:i/>
          <w:iCs/>
          <w:color w:val="555555"/>
        </w:rPr>
        <w:t xml:space="preserve">The manuscript's abstract should more clearly acknowledge the bounded, in-domain scope ... given the near-chance zero-shot cross-domain result.</w:t>
      </w:r>
    </w:p>
    <w:p>
      <w:pPr>
        <w:spacing w:after="120"/>
      </w:pPr>
      <w:r>
        <w:rPr>
          <w:b/>
          <w:bCs/>
        </w:rPr>
        <w:t xml:space="preserve">Response:</w:t>
      </w:r>
      <w:r>
        <w:t xml:space="preserve"> We have added a sentence to the abstract stating that the reported figures characterize in-domain performance on FantasyID and that zero-shot transfer to the out-of-domain SIDTD benchmark falls to near chance (PR-AUC 0.555), so the accuracy should be read as bounded to the training domain.</w:t>
      </w:r>
    </w:p>
    <w:p>
      <w:pPr>
        <w:spacing w:after="120"/>
      </w:pPr>
      <w:r>
        <w:rPr>
          <w:b/>
          <w:bCs/>
        </w:rPr>
        <w:t xml:space="preserve">Changes:</w:t>
      </w:r>
      <w:r>
        <w:t xml:space="preserve"> Abstract: added a closing sentence acknowledging the bounded in-domain scope and the near-chance zero-shot SIDTD result.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2026-08-11T12:03:56.005Z</dcterms:created>
  <dcterms:modified xsi:type="dcterms:W3CDTF">2026-08-11T12:03:56.007Z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