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14:paraId="29592FF1" w14:textId="77777777" w:rsidR="0079300B" w:rsidRPr="001E16E4" w:rsidRDefault="0079300B" w:rsidP="0079300B">
      <w:pPr>
        <w:rPr>
          <w:color w:val="404040" w:themeColor="text1" w:themeTint="BF"/>
        </w:rPr>
      </w:pPr>
    </w:p>
    <w:p w14:paraId="5D910C09" w14:textId="77777777" w:rsidR="0079300B" w:rsidRPr="001E16E4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1E16E4">
        <w:rPr>
          <w:color w:val="404040" w:themeColor="text1" w:themeTint="BF"/>
        </w:rPr>
        <w:tab/>
      </w:r>
    </w:p>
    <w:p w14:paraId="2087AD28" w14:textId="77777777" w:rsidR="004D4368" w:rsidRPr="001E16E4" w:rsidRDefault="0046056B" w:rsidP="004D4368">
      <w:pPr>
        <w:rPr>
          <w:b/>
          <w:color w:val="404040" w:themeColor="text1" w:themeTint="BF"/>
          <w:sz w:val="28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641AE0" wp14:editId="7767BE7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B3A6F" w14:textId="518D20A2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Proyecto de Título (TIH184)</w:t>
                            </w:r>
                          </w:p>
                          <w:p w14:paraId="0FAD7FC8" w14:textId="77777777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D-IEI-N8-P1-C2/D</w:t>
                            </w:r>
                          </w:p>
                          <w:p w14:paraId="0E0BCBC3" w14:textId="77777777" w:rsidR="0015224B" w:rsidRPr="00351950" w:rsidRDefault="00477225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 guía: Teresa Jesús Tapia Soto</w:t>
                            </w:r>
                          </w:p>
                          <w:p w14:paraId="7594C2D7" w14:textId="4DC2DF75" w:rsidR="0015224B" w:rsidRPr="00351950" w:rsidRDefault="00477225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Integrantes del equipo: Hernán Espinoza, Anita Marchant, Erick Silva</w:t>
                            </w:r>
                          </w:p>
                          <w:p w14:paraId="6703AB7D" w14:textId="77777777" w:rsidR="0015224B" w:rsidRPr="00351950" w:rsidRDefault="0015224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2D6BE25" w14:textId="77777777" w:rsidR="0015224B" w:rsidRPr="00351950" w:rsidRDefault="0015224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entrega: 3 de noviembre de 2026</w:t>
                            </w:r>
                          </w:p>
                          <w:p w14:paraId="53493BDA" w14:textId="77777777" w:rsidR="0015224B" w:rsidRPr="00351950" w:rsidRDefault="0015224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41A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3F6B3A6F" w14:textId="518D20A2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Proyecto de Título (TIH184)</w:t>
                      </w:r>
                    </w:p>
                    <w:p w14:paraId="0FAD7FC8" w14:textId="77777777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D-IEI-N8-P1-C2/D</w:t>
                      </w:r>
                    </w:p>
                    <w:p w14:paraId="0E0BCBC3" w14:textId="77777777" w:rsidR="0015224B" w:rsidRPr="00351950" w:rsidRDefault="00477225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 guía: Teresa Jesús Tapia Soto</w:t>
                      </w:r>
                    </w:p>
                    <w:p w14:paraId="7594C2D7" w14:textId="4DC2DF75" w:rsidR="0015224B" w:rsidRPr="00351950" w:rsidRDefault="00477225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Integrantes del equipo: Hernán Espinoza, Anita Marchant, Erick Silva</w:t>
                      </w:r>
                    </w:p>
                    <w:p w14:paraId="6703AB7D" w14:textId="77777777" w:rsidR="0015224B" w:rsidRPr="00351950" w:rsidRDefault="0015224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2D6BE25" w14:textId="77777777" w:rsidR="0015224B" w:rsidRPr="00351950" w:rsidRDefault="0015224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entrega: 3 de noviembre de 2026</w:t>
                      </w:r>
                    </w:p>
                    <w:p w14:paraId="53493BDA" w14:textId="77777777" w:rsidR="0015224B" w:rsidRPr="00351950" w:rsidRDefault="0015224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03CDAD" wp14:editId="46F640E3">
                <wp:simplePos x="0" y="0"/>
                <wp:positionH relativeFrom="margin">
                  <wp:align>center</wp:align>
                </wp:positionH>
                <wp:positionV relativeFrom="paragraph">
                  <wp:posOffset>1257935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C1C50" w14:textId="77777777" w:rsidR="004E0A47" w:rsidRDefault="004E0A47" w:rsidP="00BF35F0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DESARROLLO E IMPLEMENTACIÓN</w:t>
                            </w:r>
                          </w:p>
                          <w:p w14:paraId="354A1B9E" w14:textId="7ACF3BF5" w:rsidR="0015224B" w:rsidRPr="00EF5A12" w:rsidRDefault="00477225" w:rsidP="00BF35F0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</w:t>
                            </w:r>
                            <w:r w:rsidR="0041513A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L</w:t>
                            </w: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PROYECTO</w:t>
                            </w:r>
                            <w:r w:rsidR="00CF7DC7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 TÍTULO</w:t>
                            </w:r>
                          </w:p>
                          <w:p w14:paraId="771243A7" w14:textId="77777777" w:rsidR="0015224B" w:rsidRDefault="0015224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14:paraId="12BA53E8" w14:textId="77777777" w:rsidR="0015224B" w:rsidRDefault="00477225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Anexo B — Diccionario de datos de ES2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CDAD" id="_x0000_s1027" type="#_x0000_t202" style="position:absolute;margin-left:0;margin-top:99.05pt;width:403.9pt;height:176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7B3C1C50" w14:textId="77777777" w:rsidR="004E0A47" w:rsidRDefault="004E0A47" w:rsidP="00BF35F0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DESARROLLO E IMPLEMENTACIÓN</w:t>
                      </w:r>
                    </w:p>
                    <w:p w14:paraId="354A1B9E" w14:textId="7ACF3BF5" w:rsidR="0015224B" w:rsidRPr="00EF5A12" w:rsidRDefault="00477225" w:rsidP="00BF35F0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</w:t>
                      </w:r>
                      <w:r w:rsidR="0041513A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L</w:t>
                      </w: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PROYECTO</w:t>
                      </w:r>
                      <w:r w:rsidR="00CF7DC7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 TÍTULO</w:t>
                      </w:r>
                    </w:p>
                    <w:p w14:paraId="771243A7" w14:textId="77777777" w:rsidR="0015224B" w:rsidRDefault="0015224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14:paraId="12BA53E8" w14:textId="77777777" w:rsidR="0015224B" w:rsidRDefault="00477225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  <w:t>Anexo B — Diccionario de datos de ES2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AA2FD" w14:textId="77777777" w:rsidR="004D4368" w:rsidRPr="001E16E4" w:rsidRDefault="00B7798C" w:rsidP="00B7798C">
      <w:pPr>
        <w:tabs>
          <w:tab w:val="left" w:pos="3270"/>
        </w:tabs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>
        <w:rPr>
          <w:b/>
          <w:color w:val="404040" w:themeColor="text1" w:themeTint="BF"/>
          <w:sz w:val="28"/>
          <w:lang w:eastAsia="es-CL"/>
        </w:rPr>
        <w:tab/>
      </w:r>
    </w:p>
    <w:p w14:paraId="031B7405" w14:textId="77777777" w:rsidR="004D4368" w:rsidRPr="001E16E4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 w:rsidRPr="001E16E4">
        <w:rPr>
          <w:b/>
          <w:color w:val="404040" w:themeColor="text1" w:themeTint="BF"/>
          <w:sz w:val="28"/>
        </w:rPr>
        <w:br w:type="page"/>
      </w:r>
    </w:p>
    <w:p w14:paraId="4F3E8875" w14:textId="77777777" w:rsidR="0028662D" w:rsidRPr="001E16E4" w:rsidRDefault="0028662D" w:rsidP="0079300B">
      <w:pPr>
        <w:pStyle w:val="Estilo4"/>
        <w:spacing w:before="120" w:after="120"/>
        <w:rPr>
          <w:b/>
          <w:color w:val="404040" w:themeColor="text1" w:themeTint="BF"/>
        </w:rPr>
      </w:pPr>
    </w:p>
    <w:p w14:paraId="2D05C387" w14:textId="77777777" w:rsidR="0079300B" w:rsidRPr="001E16E4" w:rsidRDefault="0079300B" w:rsidP="0079300B">
      <w:pPr>
        <w:pStyle w:val="Estilo4"/>
        <w:spacing w:before="120" w:after="120"/>
        <w:rPr>
          <w:b/>
          <w:color w:val="404040" w:themeColor="text1" w:themeTint="BF"/>
        </w:rPr>
      </w:pPr>
      <w:r w:rsidRPr="001E16E4">
        <w:rPr>
          <w:b/>
          <w:color w:val="404040" w:themeColor="text1" w:themeTint="BF"/>
        </w:rPr>
        <w:t>Contenido</w:t>
      </w:r>
    </w:p>
    <w:p>
      <w:pPr>
        <w:pStyle w:val="TDC1"/>
      </w:pPr>
      <w:r>
        <w:fldChar w:fldCharType="begin"/>
      </w:r>
      <w:r>
        <w:instrText xml:space="preserve"> TOC \h \z \t "Título1;1;Subtitulo1;2;Subtitulo2;3" </w:instrText>
      </w:r>
      <w:r>
        <w:fldChar w:fldCharType="separate"/>
      </w:r>
      <w:r>
        <w:t>Índice pendiente: en Word, actualiza los campos (Ctrl+A y F9).</w:t>
      </w:r>
      <w:r>
        <w:fldChar w:fldCharType="end"/>
      </w:r>
    </w:p>
    <w:p>
      <w:r>
        <w:br w:type="page"/>
      </w:r>
    </w:p>
    <w:bookmarkStart w:id="24" w:name="anexo-b-diccionario-de-datos-de-es2"/>
    <w:p>
      <w:pPr>
        <w:pStyle w:val="Ttulo1"/>
      </w:pPr>
      <w:r>
        <w:t xml:space="preserve">Anexo B — Diccionario de datos de ES2</w:t>
      </w:r>
    </w:p>
    <w:p>
      <w:pPr>
        <w:pStyle w:val="PARRAFO"/>
      </w:pPr>
      <w:r>
        <w:rPr>
          <w:b/>
          <w:bCs/>
        </w:rPr>
        <w:t xml:space="preserve">Versión de diseño:</w:t>
      </w:r>
      <w:r>
        <w:t xml:space="preserve"> </w:t>
      </w:r>
      <w:r>
        <w:t xml:space="preserve">2.0, 29-09-2026.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definición arquitectónica para construir el producto completo; ninguna tabla, migración, instancia o ensayo se declara implementado. Sustituye el núcleo preliminar de 17 entidades y 137 atributos como especificación de diseño. El SQL ilustrativo anterior queda como antecedente en el historial de Git y no debe ejecutarse como migración vigente. La fuente ejecutable futura será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t xml:space="preserve">del backend Go; este diccionario será su contrato académico. PostgreSQL 18 + PostGIS +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es el objetivo, sujeto a verificación local y en Cloud SQL.</w:t>
      </w:r>
    </w:p>
    <w:p>
      <w:pPr>
        <w:pStyle w:val="PARRAFO"/>
      </w:pPr>
      <w:r>
        <w:t xml:space="preserve">La Ley 21.719 se aplica</w:t>
      </w:r>
      <w:r>
        <w:t xml:space="preserve"> </w:t>
      </w:r>
      <w:r>
        <w:rPr>
          <w:b/>
          <w:bCs/>
        </w:rPr>
        <w:t xml:space="preserve">como criterio de diseño desde el primer incremento ES2</w:t>
      </w:r>
      <w:r>
        <w:t xml:space="preserve">, por decisión del usuario. Su entrada en vigencia, prevista para el 1 de diciembre de 2026, no retrasa minimización, permisos, inventario de tratamientos, derechos de titulares ni controles de seguridad del desarrollo. Tampoco se declara cumplimiento probado sin implementación y evidencia </w:t>
      </w:r>
      <w:r>
        <w:fldChar w:fldCharType="begin"/>
      </w:r>
      <w:r>
        <w:instrText xml:space="preserve"> CITATION ley21719 \l 13322 </w:instrText>
      </w:r>
      <w:r>
        <w:fldChar w:fldCharType="separate"/>
      </w:r>
      <w:r>
        <w:t xml:space="preserve">(Biblioteca del Congreso Nacional de Chile, 2024)</w:t>
      </w:r>
      <w:r>
        <w:fldChar w:fldCharType="end"/>
      </w:r>
      <w:r>
        <w:t xml:space="preserve">.</w:t>
      </w:r>
    </w:p>
    <w:bookmarkStart w:id="21" w:name="Xa295583c35010038c7eb09f1a6f22e416489fa9"/>
    <w:p>
      <w:pPr>
        <w:pStyle w:val="Subtitulo1"/>
      </w:pPr>
      <w:r>
        <w:t xml:space="preserve">B.1 Convenciones y decisiones vinculantes de diseño</w:t>
      </w:r>
    </w:p>
    <w:p>
      <w:pPr>
        <w:pStyle w:val="PARRAFO"/>
        <w:numPr>
          <w:ilvl w:val="0"/>
          <w:numId w:val="1001"/>
        </w:numPr>
      </w:pPr>
      <w:r>
        <w:t xml:space="preserve">Cada</w:t>
      </w:r>
      <w:r>
        <w:t xml:space="preserve"> </w:t>
      </w:r>
      <w:r>
        <w:rPr>
          <w:rStyle w:val="VerbatimChar"/>
        </w:rPr>
        <w:t xml:space="preserve">espacio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unidad reservable exclusiva</w:t>
      </w:r>
      <w:r>
        <w:t xml:space="preserve">. Todas las categorías de la entrega anterior están representadas en</w:t>
      </w:r>
      <w:r>
        <w:t xml:space="preserve"> </w:t>
      </w:r>
      <w:r>
        <w:rPr>
          <w:rStyle w:val="VerbatimChar"/>
        </w:rPr>
        <w:t xml:space="preserve">categoria_espacio</w:t>
      </w:r>
      <w:r>
        <w:t xml:space="preserve">; agregar una categoría es un cambio de datos y reglas, no una migración de tabla. El aforo limita asistentes y no permite reservas simultáneas.</w:t>
      </w:r>
    </w:p>
    <w:p>
      <w:pPr>
        <w:pStyle w:val="PARRAFO"/>
        <w:numPr>
          <w:ilvl w:val="0"/>
          <w:numId w:val="1001"/>
        </w:numPr>
      </w:pPr>
      <w:r>
        <w:rPr>
          <w:rStyle w:val="VerbatimChar"/>
        </w:rPr>
        <w:t xml:space="preserve">uuid</w:t>
      </w:r>
      <w:r>
        <w:t xml:space="preserve"> </w:t>
      </w:r>
      <w:r>
        <w:t xml:space="preserve">identifica hechos y recursos internos;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registra instantes;</w:t>
      </w:r>
      <w:r>
        <w:t xml:space="preserve"> </w:t>
      </w:r>
      <w:r>
        <w:rPr>
          <w:rStyle w:val="VerbatimChar"/>
        </w:rPr>
        <w:t xml:space="preserve">tstzrange</w:t>
      </w:r>
      <w:r>
        <w:t xml:space="preserve"> </w:t>
      </w:r>
      <w:r>
        <w:t xml:space="preserve">con límites `</w:t>
      </w:r>
      <w:r>
        <w:fldChar w:fldCharType="begin"/>
      </w:r>
      <w:r>
        <w:instrText xml:space="preserve"> CITATION ley21719 \l 13322 </w:instrText>
      </w:r>
      <w:r>
        <w:fldChar w:fldCharType="separate"/>
      </w:r>
      <w:r>
        <w:t xml:space="preserve">(Biblioteca del Congreso Nacional de Chile, 2024)</w:t>
      </w:r>
      <w:r>
        <w:fldChar w:fldCharType="end"/>
      </w:r>
      <w:r>
        <w:t xml:space="preserve">.</w:t>
      </w:r>
    </w:p>
    <w:tbl>
      <w:tblPr>
        <w:tblStyle w:val="Tablanormal"/>
        <w:tblW w:type="pct" w:w="500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Clase/finalidad</w:t>
            </w:r>
          </w:p>
        </w:tc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Tablas y objetos</w:t>
            </w:r>
          </w:p>
        </w:tc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Acceso y salida</w:t>
            </w:r>
          </w:p>
        </w:tc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Evento de cierre y acción diseñada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Cuenta y autenticación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perfil_usuario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token_accion</w:t>
            </w:r>
            <w:r>
              <w:t xml:space="preserve">, aceptaciones</w:t>
            </w:r>
          </w:p>
        </w:tc>
        <w:tc>
          <w:tcPr/>
          <w:p>
            <w:pPr>
              <w:pStyle w:val="TABLAPRRAFO"/>
            </w:pPr>
            <w:r>
              <w:t xml:space="preserve">Titular y servicio de identidad; hash/token fuera de logs/analítica</w:t>
            </w:r>
          </w:p>
        </w:tc>
        <w:tc>
          <w:tcPr/>
          <w:p>
            <w:pPr>
              <w:pStyle w:val="TABLAPRRAFO"/>
            </w:pPr>
            <w:r>
              <w:t xml:space="preserve">Revocar sesiones al cerrar; suprimir/minimizar perfil y credencial tras resolver solicitud, preservando solo hechos con fundamento.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Verificación e identidad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verificacion</w:t>
            </w:r>
            <w:r>
              <w:t xml:space="preserve">, documentos KYC/KYB,</w:t>
            </w:r>
            <w:r>
              <w:t xml:space="preserve"> </w:t>
            </w:r>
            <w:r>
              <w:rPr>
                <w:rStyle w:val="VerbatimChar"/>
              </w:rPr>
              <w:t xml:space="preserve">cuenta_cobro</w:t>
            </w:r>
            <w:r>
              <w:t xml:space="preserve">, vínculo vendedor</w:t>
            </w:r>
          </w:p>
        </w:tc>
        <w:tc>
          <w:tcPr/>
          <w:p>
            <w:pPr>
              <w:pStyle w:val="TABLAPRRAFO"/>
            </w:pPr>
            <w:r>
              <w:t xml:space="preserve">Personal habilitado y proveedor encargado; cifrado/referencia externa</w:t>
            </w:r>
          </w:p>
        </w:tc>
        <w:tc>
          <w:tcPr/>
          <w:p>
            <w:pPr>
              <w:pStyle w:val="TABLAPRRAFO"/>
            </w:pPr>
            <w:r>
              <w:t xml:space="preserve">Vencimiento/revocación del propósito; borrar objeto y referencias conforme a excepción y plazo aprobados.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Oferta y localización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espacio</w:t>
            </w:r>
            <w:r>
              <w:t xml:space="preserve">, galería, ubicación</w:t>
            </w:r>
          </w:p>
        </w:tc>
        <w:tc>
          <w:tcPr/>
          <w:p>
            <w:pPr>
              <w:pStyle w:val="TABLAPRRAFO"/>
            </w:pPr>
            <w:r>
              <w:t xml:space="preserve">Público solo contenido autorizado y ubicación gruesa; exacta a participantes habilitados</w:t>
            </w:r>
          </w:p>
        </w:tc>
        <w:tc>
          <w:tcPr/>
          <w:p>
            <w:pPr>
              <w:pStyle w:val="TABLAPRRAFO"/>
            </w:pPr>
            <w:r>
              <w:t xml:space="preserve">Retirar publicación sin borrar reservas/contratos históricos; purgar medios conforme a finalidad.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Reserva y comunicación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cotizacion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ocupacion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mensaje_reserva</w:t>
            </w:r>
            <w:r>
              <w:t xml:space="preserve">, notificaciones, reseñas</w:t>
            </w:r>
          </w:p>
        </w:tc>
        <w:tc>
          <w:tcPr/>
          <w:p>
            <w:pPr>
              <w:pStyle w:val="TABLAPRRAFO"/>
            </w:pPr>
            <w:r>
              <w:t xml:space="preserve">Participantes; administrador motivado; sin mensajes completos en BigQuery</w:t>
            </w:r>
          </w:p>
        </w:tc>
        <w:tc>
          <w:tcPr/>
          <w:p>
            <w:pPr>
              <w:pStyle w:val="TABLAPRRAFO"/>
            </w:pPr>
            <w:r>
              <w:t xml:space="preserve">Vencimiento, cierre y solicitud; separar borrado de conversación/perfil de conservación de hechos contractuales.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Pago y tributación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pago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evento_proveedor</w:t>
            </w:r>
            <w:r>
              <w:t xml:space="preserve">, movimientos, liquidación, DTE</w:t>
            </w:r>
          </w:p>
        </w:tc>
        <w:tc>
          <w:tcPr/>
          <w:p>
            <w:pPr>
              <w:pStyle w:val="TABLAPRRAFO"/>
            </w:pPr>
            <w:r>
              <w:t xml:space="preserve">Finanzas/administración autorizada; solo referencias mínimas a proveedor</w:t>
            </w:r>
          </w:p>
        </w:tc>
        <w:tc>
          <w:tcPr/>
          <w:p>
            <w:pPr>
              <w:pStyle w:val="TABLAPRRAFO"/>
            </w:pPr>
            <w:r>
              <w:t xml:space="preserve">Conservar comprobantes durante plazo tributario aplicable; disociar datos no exigidos. [[PENDIENTE: validar con contador el plazo y documento exacto por operación.]]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Contrato y evidencia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contrato</w:t>
            </w:r>
            <w:r>
              <w:t xml:space="preserve">, firmas, operación, disputa,</w:t>
            </w:r>
            <w:r>
              <w:t xml:space="preserve"> </w:t>
            </w: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TABLAPRRAFO"/>
            </w:pPr>
            <w:r>
              <w:t xml:space="preserve">Participantes y resolución autorizada; objetos privados</w:t>
            </w:r>
          </w:p>
        </w:tc>
        <w:tc>
          <w:tcPr/>
          <w:p>
            <w:pPr>
              <w:pStyle w:val="TABLAPRRAFO"/>
            </w:pPr>
            <w:r>
              <w:t xml:space="preserve">RNF-042 exige al menos cinco años para contratos/evidencia; confirmar inicio, excepciones y plazo legal efectivo antes de bloqueo irreversible.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Auditoría y derechos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evento_auditoria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solicitud_titular</w:t>
            </w:r>
          </w:p>
        </w:tc>
        <w:tc>
          <w:tcPr/>
          <w:p>
            <w:pPr>
              <w:pStyle w:val="TABLAPRRAFO"/>
            </w:pPr>
            <w:r>
              <w:t xml:space="preserve">Administrador/privacidad con motivo; exportación mínima protegida</w:t>
            </w:r>
          </w:p>
        </w:tc>
        <w:tc>
          <w:tcPr/>
          <w:p>
            <w:pPr>
              <w:pStyle w:val="TABLAPRRAFO"/>
            </w:pPr>
            <w:r>
              <w:t xml:space="preserve">RNF-043 exige al menos cinco años de auditoría; no guardar PII directa en lote inmutable. Resolver derechos con decisión fundada y trazabilidad PT-16.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Analítica y promoción</w:t>
            </w:r>
          </w:p>
        </w:tc>
        <w:tc>
          <w:tcPr/>
          <w:p>
            <w:pPr>
              <w:pStyle w:val="TABLAPRRAFO"/>
            </w:pPr>
            <w:r>
              <w:rPr>
                <w:rStyle w:val="VerbatimChar"/>
              </w:rPr>
              <w:t xml:space="preserve">outbox_evento</w:t>
            </w:r>
            <w:r>
              <w:t xml:space="preserve">, campañas, derechos, NPS, datasets BigQuery</w:t>
            </w:r>
          </w:p>
        </w:tc>
        <w:tc>
          <w:tcPr/>
          <w:p>
            <w:pPr>
              <w:pStyle w:val="TABLAPRRAFO"/>
            </w:pPr>
            <w:r>
              <w:t xml:space="preserve">Agregados autorizados por titular del espacio; seudónimo no equivale a anonimato</w:t>
            </w:r>
          </w:p>
        </w:tc>
        <w:tc>
          <w:tcPr/>
          <w:p>
            <w:pPr>
              <w:pStyle w:val="TABLAPRRAFO"/>
            </w:pPr>
            <w:r>
              <w:t xml:space="preserve">Retención y desidentificación propias por evento/dataset; suprimir derivados según solicitud y finalidad.</w:t>
            </w:r>
          </w:p>
        </w:tc>
      </w:tr>
    </w:tbl>
    <w:p>
      <w:pPr>
        <w:pStyle w:val="PARRAFO"/>
      </w:pPr>
      <w:r>
        <w:t xml:space="preserve">El plazo interno de 72 horas de RNF-026 se trata como objetivo operacional a instrumentar y medir. No se afirma que ese número sea un plazo legal de la Ley 21.719. Tampoco se aplica un plazo único de cinco o seis años a toda fila. Toda excepción a supresión debe guardar fundamento y fecha de revisión; no se sustituye por hashes del nombre/correo mientras las FK permitan reidentificar.</w:t>
      </w:r>
    </w:p>
    <w:bookmarkStart w:id="20" w:name="b.7.1-matriz-de-acceso-de-la-api"/>
    <w:p>
      <w:pPr>
        <w:pStyle w:val="Subtitulo2"/>
      </w:pPr>
      <w:r>
        <w:t xml:space="preserve">B.7.1 Matriz de acceso de la API</w:t>
      </w:r>
    </w:p>
    <w:tbl>
      <w:tblPr>
        <w:tblStyle w:val="Tablanormal"/>
        <w:tblW w:type="pct" w:w="500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Sujeto</w:t>
            </w:r>
          </w:p>
        </w:tc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Lectura/escritura autorizada</w:t>
            </w:r>
          </w:p>
        </w:tc>
        <w:tc>
          <w:tcPr/>
          <w:p>
            <w:pPr>
              <w:pStyle w:val="TABLAPRRAFO"/>
            </w:pPr>
            <w:r>
              <w:rPr>
                <w:b/>
                <w:bCs/>
              </w:rPr>
              <w:t xml:space="preserve">Denegación o condición verificable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Visitante</w:t>
            </w:r>
          </w:p>
        </w:tc>
        <w:tc>
          <w:tcPr/>
          <w:p>
            <w:pPr>
              <w:pStyle w:val="TABLAPRRAFO"/>
            </w:pPr>
            <w:r>
              <w:t xml:space="preserve">Publicaciones activas, precio publicado y reseñas moderadas</w:t>
            </w:r>
          </w:p>
        </w:tc>
        <w:tc>
          <w:tcPr/>
          <w:p>
            <w:pPr>
              <w:pStyle w:val="TABLAPRRAFO"/>
            </w:pPr>
            <w:r>
              <w:t xml:space="preserve">Sin dirección exacta, perfil privado, mensajería, reserva ni métricas de vendedor.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Usuario registrado</w:t>
            </w:r>
          </w:p>
        </w:tc>
        <w:tc>
          <w:tcPr/>
          <w:p>
            <w:pPr>
              <w:pStyle w:val="TABLAPRRAFO"/>
            </w:pPr>
            <w:r>
              <w:t xml:space="preserve">Su perfil, sesiones y solicitudes de derechos</w:t>
            </w:r>
          </w:p>
        </w:tc>
        <w:tc>
          <w:tcPr/>
          <w:p>
            <w:pPr>
              <w:pStyle w:val="TABLAPRRAFO"/>
            </w:pPr>
            <w:r>
              <w:t xml:space="preserve">No ve PII de otras cuentas; cierre revoca sesiones.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Arrendatario</w:t>
            </w:r>
          </w:p>
        </w:tc>
        <w:tc>
          <w:tcPr/>
          <w:p>
            <w:pPr>
              <w:pStyle w:val="TABLAPRRAFO"/>
            </w:pPr>
            <w:r>
              <w:t xml:space="preserve">Sus cotizaciones/reservas, pagos propios, contratos, mensajes y actos de uso</w:t>
            </w:r>
          </w:p>
        </w:tc>
        <w:tc>
          <w:tcPr/>
          <w:p>
            <w:pPr>
              <w:pStyle w:val="TABLAPRRAFO"/>
            </w:pPr>
            <w:r>
              <w:t xml:space="preserve">No resuelve disputas ni accede a cuenta de cobro del arrendador; cancelación según snapshot.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Arrendador</w:t>
            </w:r>
          </w:p>
        </w:tc>
        <w:tc>
          <w:tcPr/>
          <w:p>
            <w:pPr>
              <w:pStyle w:val="TABLAPRRAFO"/>
            </w:pPr>
            <w:r>
              <w:t xml:space="preserve">Sus espacios, tarifas, calendario, solicitudes, contratos y agregados de métricas con derecho vigente</w:t>
            </w:r>
          </w:p>
        </w:tc>
        <w:tc>
          <w:tcPr/>
          <w:p>
            <w:pPr>
              <w:pStyle w:val="TABLAPRRAFO"/>
            </w:pPr>
            <w:r>
              <w:t xml:space="preserve">No ve token de pago, documento KYC o conversaciones ajenas; dirección exacta de otro anuncio sujeta a autorización.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Administrador</w:t>
            </w:r>
          </w:p>
        </w:tc>
        <w:tc>
          <w:tcPr/>
          <w:p>
            <w:pPr>
              <w:pStyle w:val="TABLAPRRAFO"/>
            </w:pPr>
            <w:r>
              <w:t xml:space="preserve">Moderación, verificaciones, disputa, soporte y auditoría necesaria</w:t>
            </w:r>
          </w:p>
        </w:tc>
        <w:tc>
          <w:tcPr/>
          <w:p>
            <w:pPr>
              <w:pStyle w:val="TABLAPRRAFO"/>
            </w:pPr>
            <w:r>
              <w:t xml:space="preserve">Cada acceso sensible exige motivo/correlación; roles comerciales no se heredan automáticamente.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Worker del monolito</w:t>
            </w:r>
          </w:p>
        </w:tc>
        <w:tc>
          <w:tcPr/>
          <w:p>
            <w:pPr>
              <w:pStyle w:val="TABLAPRRAFO"/>
            </w:pPr>
            <w:r>
              <w:t xml:space="preserve">Filas pendientes de expiración, notificación, outbox y conciliación</w:t>
            </w:r>
          </w:p>
        </w:tc>
        <w:tc>
          <w:tcPr/>
          <w:p>
            <w:pPr>
              <w:pStyle w:val="TABLAPRRAFO"/>
            </w:pPr>
            <w:r>
              <w:t xml:space="preserve">Cuenta de servicio sin sesión humana; lease e idempotencia; consultas limitadas a su finalidad.</w:t>
            </w:r>
          </w:p>
        </w:tc>
      </w:tr>
      <w:tr>
        <w:tc>
          <w:tcPr/>
          <w:p>
            <w:pPr>
              <w:pStyle w:val="TABLAPRRAFO"/>
            </w:pPr>
            <w:r>
              <w:t xml:space="preserve">Consumidor analítico</w:t>
            </w:r>
          </w:p>
        </w:tc>
        <w:tc>
          <w:tcPr/>
          <w:p>
            <w:pPr>
              <w:pStyle w:val="TABLAPRRAFO"/>
            </w:pPr>
            <w:r>
              <w:t xml:space="preserve">Eventos minimizados y agregados autorizados</w:t>
            </w:r>
          </w:p>
        </w:tc>
        <w:tc>
          <w:tcPr/>
          <w:p>
            <w:pPr>
              <w:pStyle w:val="TABLAPRRAFO"/>
            </w:pPr>
            <w:r>
              <w:t xml:space="preserve">Sin secretos, PAN/CVV, KYC, mensajes completos ni capacidad de modificar hechos operativos.</w:t>
            </w:r>
          </w:p>
        </w:tc>
      </w:tr>
    </w:tbl>
    <w:p>
      <w:pPr>
        <w:pStyle w:val="PARRAFO"/>
      </w:pPr>
      <w:r>
        <w:t xml:space="preserve">El backend comprueba rol, titularidad y finalidad</w:t>
      </w:r>
      <w:r>
        <w:t xml:space="preserve"> </w:t>
      </w:r>
      <w:r>
        <w:rPr>
          <w:b/>
          <w:bCs/>
        </w:rPr>
        <w:t xml:space="preserve">por recurso y en cada consulta/comando</w:t>
      </w:r>
      <w:r>
        <w:t xml:space="preserve">; los filtros visuales y el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 </w:t>
      </w:r>
      <w:r>
        <w:t xml:space="preserve">enviado por el cliente no son autoridad. Los roles PostgreSQL separan migración, API y operación, pero no sustituyen esta autorización de negocio.</w:t>
      </w:r>
    </w:p>
    <w:bookmarkEnd w:id="20"/>
    <w:bookmarkEnd w:id="21"/>
    <w:bookmarkStart w:id="22" w:name="Xfe5ae9759a68fb7340b9898af3fc2d05d80c7ee"/>
    <w:p>
      <w:pPr>
        <w:pStyle w:val="Subtitulo1"/>
      </w:pPr>
      <w:r>
        <w:t xml:space="preserve">B.8 Seguridad, migración y evidencias requeridas</w:t>
      </w:r>
    </w:p>
    <w:p>
      <w:pPr>
        <w:pStyle w:val="PARRAFO"/>
        <w:numPr>
          <w:ilvl w:val="0"/>
          <w:numId w:val="1002"/>
        </w:numPr>
      </w:pPr>
      <w:r>
        <w:rPr>
          <w:b/>
          <w:bCs/>
        </w:rPr>
        <w:t xml:space="preserve">Roles DB:</w:t>
      </w:r>
      <w:r>
        <w:t xml:space="preserve"> </w:t>
      </w:r>
      <w:r>
        <w:t xml:space="preserve">credencial de migración con DDL separada de</w:t>
      </w:r>
      <w:r>
        <w:t xml:space="preserve"> </w:t>
      </w:r>
      <w:r>
        <w:rPr>
          <w:rStyle w:val="VerbatimChar"/>
        </w:rPr>
        <w:t xml:space="preserve">app_rw</w:t>
      </w:r>
      <w:r>
        <w:t xml:space="preserve">; cuentas de lectura/operación con permisos mínimos. La API aplica autorización por recurso/rol y consultas filtradas. Secret Manager custodia secretos; no guardar PAN/CVV ni tokens OAuth en PostgreSQL.</w:t>
      </w:r>
    </w:p>
    <w:p>
      <w:pPr>
        <w:pStyle w:val="PARRAFO"/>
        <w:numPr>
          <w:ilvl w:val="0"/>
          <w:numId w:val="1002"/>
        </w:numPr>
      </w:pPr>
      <w:r>
        <w:rPr>
          <w:b/>
          <w:bCs/>
        </w:rPr>
        <w:t xml:space="preserve">Migraciones:</w:t>
      </w:r>
      <w:r>
        <w:t xml:space="preserve"> </w:t>
      </w:r>
      <w:r>
        <w:t xml:space="preserve">SQL numerado y versionado en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, checksum, ejecución serial y registro de versión; patrón expandir–migrar datos–contraer. Comprobar PostgreSQL 18/PostGIS/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en local y Cloud SQL antes de afirmar portabilidad. No convertir el ejemplo del anexo previo en la primera migración.</w:t>
      </w:r>
    </w:p>
    <w:p>
      <w:pPr>
        <w:pStyle w:val="PARRAFO"/>
        <w:numPr>
          <w:ilvl w:val="0"/>
          <w:numId w:val="1002"/>
        </w:numPr>
      </w:pPr>
      <w:r>
        <w:rPr>
          <w:b/>
          <w:bCs/>
        </w:rPr>
        <w:t xml:space="preserve">Dinero:</w:t>
      </w:r>
      <w:r>
        <w:t xml:space="preserve"> </w:t>
      </w:r>
      <w:r>
        <w:t xml:space="preserve">igualdad de moneda y conciliación entre cotización, reserva, intento, reporte externo, movimiento, documento y liquidación.</w:t>
      </w:r>
      <w:r>
        <w:t xml:space="preserve"> </w:t>
      </w:r>
      <w:r>
        <w:rPr>
          <w:rStyle w:val="VerbatimChar"/>
        </w:rPr>
        <w:t xml:space="preserve">comision_neta</w:t>
      </w:r>
      <w:r>
        <w:t xml:space="preserve">,</w:t>
      </w:r>
      <w:r>
        <w:t xml:space="preserve"> </w:t>
      </w:r>
      <w:r>
        <w:rPr>
          <w:rStyle w:val="VerbatimChar"/>
        </w:rPr>
        <w:t xml:space="preserve">iva_comision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tarifa_proveedor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neto_arrendador</w:t>
      </w:r>
      <w:r>
        <w:t xml:space="preserve"> </w:t>
      </w:r>
      <w:r>
        <w:t xml:space="preserve">son conceptos separados. Tarifa y distribución real de Split se verifican en sandbox y con proveedor/contador.</w:t>
      </w:r>
    </w:p>
    <w:p>
      <w:pPr>
        <w:pStyle w:val="PARRAFO"/>
        <w:numPr>
          <w:ilvl w:val="0"/>
          <w:numId w:val="1002"/>
        </w:numPr>
      </w:pPr>
      <w:r>
        <w:rPr>
          <w:b/>
          <w:bCs/>
        </w:rPr>
        <w:t xml:space="preserve">Concurrencia:</w:t>
      </w:r>
      <w:r>
        <w:t xml:space="preserve"> </w:t>
      </w:r>
      <w:r>
        <w:t xml:space="preserve">exclusión GiST para reservas/bloqueos, idempotencia y unicidad externa para pagos/webhooks, leases para worker/outbox. Una transacción local no revierte una operación externa confirmada.</w:t>
      </w:r>
    </w:p>
    <w:p>
      <w:pPr>
        <w:pStyle w:val="PARRAFO"/>
        <w:numPr>
          <w:ilvl w:val="0"/>
          <w:numId w:val="1002"/>
        </w:numPr>
      </w:pPr>
      <w:r>
        <w:rPr>
          <w:b/>
          <w:bCs/>
        </w:rPr>
        <w:t xml:space="preserve">Continuidad:</w:t>
      </w:r>
      <w:r>
        <w:t xml:space="preserve"> </w:t>
      </w:r>
      <w:r>
        <w:t xml:space="preserve">respaldos/PITR y restauración aislada, incluidas referencias de GCS y secretos; RPO/RTO RNF-010 se acreditan solo con ensayo fechado. HA se decide con costo/disponibilidad medidos; activar una opción no demuestra RTO.</w:t>
      </w:r>
    </w:p>
    <w:p>
      <w:pPr>
        <w:pStyle w:val="PARRAFO"/>
        <w:numPr>
          <w:ilvl w:val="0"/>
          <w:numId w:val="1002"/>
        </w:numPr>
      </w:pPr>
      <w:r>
        <w:rPr>
          <w:b/>
          <w:bCs/>
        </w:rPr>
        <w:t xml:space="preserve">Rastreo académico:</w:t>
      </w:r>
      <w:r>
        <w:t xml:space="preserve"> </w:t>
      </w:r>
      <w:r>
        <w:t xml:space="preserve">RQF/RNF/CU anteriores se conservan; PT-16 cubre derechos. Las pruebas MD-01–MD-13 del diseño preliminar siguen como criterios planificados: integridad referencial, exclusión y concurrencia, estados, documentos, pagos/webhooks, worker/outbox, privacidad, migración y restauración. Se actualizarán sus entradas y resultados al existir migraciones, ambiente y producto.</w:t>
      </w:r>
    </w:p>
    <w:p>
      <w:pPr>
        <w:pStyle w:val="DESTACADO2"/>
      </w:pPr>
      <w:r>
        <w:t xml:space="preserve">PENDIENTE: confirmar con contador y documentos reales la afectación/IVA, emisor y retención de cada componente financiero; con proveedor las capacidades efectivas de garantía, reembolso y Split; con responsable de privacidad las bases jurídicas/plazos por finalidad y el bloqueo de retención; ejecutar migraciones y MD/PT con evidencia fechada.</w:t>
      </w:r>
    </w:p>
    <w:bookmarkEnd w:id="22"/>
    <w:bookmarkStart w:id="23" w:name="referencias"/>
    <w:p>
      <w:pPr>
        <w:pStyle w:val="Subtitulo1"/>
      </w:pPr>
      <w:r>
        <w:t xml:space="preserve">Referencias</w:t>
      </w:r>
    </w:p>
    <w:p>
      <w:pPr>
        <w:pStyle w:val="BIBLIOGRAFA1"/>
      </w:pPr>
      <w:r>
        <w:fldChar w:fldCharType="begin"/>
      </w:r>
      <w:r>
        <w:instrText xml:space="preserve"> BIBLIOGRAPHY \l 13322 </w:instrText>
      </w:r>
      <w:r>
        <w:fldChar w:fldCharType="separate"/>
      </w:r>
      <w:r>
        <w:t xml:space="preserve">Biblioteca del Congreso Nacional de Chile. (2024).</w:t>
      </w:r>
      <w:r>
        <w:t xml:space="preserve"> </w:t>
      </w:r>
      <w:r>
        <w:rPr>
          <w:i/>
          <w:iCs/>
        </w:rPr>
        <w:t xml:space="preserve">Ley 21.719: Regula la protección y el tratamiento de los datos personales y crea la Agencia de Protección de Datos Personales</w:t>
      </w:r>
      <w:r>
        <w:t xml:space="preserve">. LeyChile, Biblioteca del Congreso Nacional de Chile.</w:t>
      </w:r>
      <w:r>
        <w:t xml:space="preserve"> </w:t>
      </w:r>
      <w:hyperlink r:id="rIdLink1">
        <w:r>
          <w:rPr>
            <w:rStyle w:val="Hipervnculo"/>
          </w:rPr>
          <w:t xml:space="preserve">https://www.bcn.cl/leychile/navegar?i=1209272</w:t>
        </w:r>
      </w:hyperlink>
      <w:r>
        <w:fldChar w:fldCharType="end"/>
      </w:r>
    </w:p>
    <w:bookmarkEnd w:id="23"/>
    <w:bookmarkEnd w:id="24"/>
    <w:sectPr w:rsidR="00124CD0" w:rsidRPr="001E16E4" w:rsidSect="0028662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7704C" w14:textId="77777777" w:rsidR="00A07806" w:rsidRDefault="00A07806">
      <w:pPr>
        <w:spacing w:after="0" w:line="240" w:lineRule="auto"/>
      </w:pPr>
      <w:r>
        <w:separator/>
      </w:r>
    </w:p>
  </w:endnote>
  <w:endnote w:type="continuationSeparator" w:id="0">
    <w:p w14:paraId="1E767E9F" w14:textId="77777777" w:rsidR="00A07806" w:rsidRDefault="00A07806">
      <w:pPr>
        <w:spacing w:after="0" w:line="240" w:lineRule="auto"/>
      </w:pPr>
      <w:r>
        <w:continuationSeparator/>
      </w:r>
    </w:p>
  </w:endnote>
  <w:endnote w:type="continuationNotice" w:id="1">
    <w:p w14:paraId="4AE4354C" w14:textId="77777777" w:rsidR="00A07806" w:rsidRDefault="00A078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6532B" w14:textId="77777777" w:rsidR="008122C9" w:rsidRDefault="008122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01B23" w14:textId="27907B30" w:rsidR="0015224B" w:rsidRDefault="00A6752E" w:rsidP="00205F2E">
    <w:pPr>
      <w:pStyle w:val="Piedepgina"/>
      <w:jc w:val="center"/>
      <w:rPr>
        <w:sz w:val="20"/>
      </w:rPr>
    </w:pPr>
    <w:r>
      <w:rPr>
        <w:sz w:val="20"/>
      </w:rPr>
      <w:t>Desarrollo</w:t>
    </w:r>
    <w:r w:rsidR="0015224B">
      <w:rPr>
        <w:sz w:val="20"/>
      </w:rPr>
      <w:t xml:space="preserve"> de</w:t>
    </w:r>
    <w:r w:rsidR="00063467">
      <w:rPr>
        <w:sz w:val="20"/>
      </w:rPr>
      <w:t>l</w:t>
    </w:r>
    <w:r w:rsidR="0015224B">
      <w:rPr>
        <w:sz w:val="20"/>
      </w:rPr>
      <w:t xml:space="preserve"> Proyect</w:t>
    </w:r>
    <w:r w:rsidR="00587B13">
      <w:rPr>
        <w:sz w:val="20"/>
      </w:rPr>
      <w:t>o</w:t>
    </w:r>
    <w:r w:rsidR="00827116">
      <w:rPr>
        <w:sz w:val="20"/>
      </w:rPr>
      <w:t xml:space="preserve"> de Título</w:t>
    </w:r>
  </w:p>
  <w:p w14:paraId="2F0E01A1" w14:textId="77777777" w:rsidR="0015224B" w:rsidRPr="00C539A7" w:rsidRDefault="00000000" w:rsidP="00205F2E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15224B">
          <w:fldChar w:fldCharType="begin"/>
        </w:r>
        <w:r w:rsidR="0015224B">
          <w:instrText>PAGE   \* MERGEFORMAT</w:instrText>
        </w:r>
        <w:r w:rsidR="0015224B">
          <w:fldChar w:fldCharType="separate"/>
        </w:r>
        <w:r w:rsidR="00B7798C" w:rsidRPr="00B7798C">
          <w:rPr>
            <w:noProof/>
            <w:lang w:val="es-ES"/>
          </w:rPr>
          <w:t>3</w:t>
        </w:r>
        <w:r w:rsidR="0015224B">
          <w:fldChar w:fldCharType="end"/>
        </w:r>
      </w:sdtContent>
    </w:sdt>
    <w:r w:rsidR="0015224B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33098D9" wp14:editId="3A648537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48DBFD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" fillcolor="#e30513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24627" w14:textId="77777777" w:rsidR="0015224B" w:rsidRDefault="0015224B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3" behindDoc="0" locked="0" layoutInCell="1" allowOverlap="1" wp14:anchorId="7AF6DD09" wp14:editId="6B8A9B0D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32" name="Imagen 32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598E9" w14:textId="77777777" w:rsidR="00A07806" w:rsidRDefault="00A07806">
      <w:pPr>
        <w:spacing w:after="0" w:line="240" w:lineRule="auto"/>
      </w:pPr>
      <w:r>
        <w:separator/>
      </w:r>
    </w:p>
  </w:footnote>
  <w:footnote w:type="continuationSeparator" w:id="0">
    <w:p w14:paraId="37AF88F7" w14:textId="77777777" w:rsidR="00A07806" w:rsidRDefault="00A07806">
      <w:pPr>
        <w:spacing w:after="0" w:line="240" w:lineRule="auto"/>
      </w:pPr>
      <w:r>
        <w:continuationSeparator/>
      </w:r>
    </w:p>
  </w:footnote>
  <w:footnote w:type="continuationNotice" w:id="1">
    <w:p w14:paraId="2839E6E4" w14:textId="77777777" w:rsidR="00A07806" w:rsidRDefault="00A078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F9877" w14:textId="77777777" w:rsidR="008122C9" w:rsidRDefault="008122C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DDA0F" w14:textId="77777777" w:rsidR="0015224B" w:rsidRDefault="0015224B" w:rsidP="0015224B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63801AAA" wp14:editId="09918E11">
          <wp:simplePos x="0" y="0"/>
          <wp:positionH relativeFrom="margin">
            <wp:posOffset>4481195</wp:posOffset>
          </wp:positionH>
          <wp:positionV relativeFrom="page">
            <wp:posOffset>266700</wp:posOffset>
          </wp:positionV>
          <wp:extent cx="1485265" cy="418465"/>
          <wp:effectExtent l="0" t="0" r="635" b="635"/>
          <wp:wrapNone/>
          <wp:docPr id="3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329" t="-4769"/>
                  <a:stretch/>
                </pic:blipFill>
                <pic:spPr bwMode="auto">
                  <a:xfrm>
                    <a:off x="0" y="0"/>
                    <a:ext cx="1485953" cy="4186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0032F" w14:textId="77777777" w:rsidR="00B7798C" w:rsidRDefault="00B7798C" w:rsidP="00B7798C">
    <w:pPr>
      <w:pStyle w:val="Encabezado"/>
      <w:ind w:left="-426" w:right="7561"/>
      <w:jc w:val="center"/>
      <w:rPr>
        <w:b/>
        <w:color w:val="FFFFFF" w:themeColor="background1"/>
      </w:rPr>
    </w:pPr>
  </w:p>
  <w:p w14:paraId="0A6721D5" w14:textId="77777777" w:rsidR="0015224B" w:rsidRDefault="00B7798C" w:rsidP="00B7798C">
    <w:pPr>
      <w:pStyle w:val="Encabezado"/>
      <w:ind w:left="-567" w:right="7561"/>
      <w:jc w:val="center"/>
    </w:pPr>
    <w:r w:rsidRPr="00F5261C">
      <w:rPr>
        <w:b/>
        <w:color w:val="FFFFFF" w:themeColor="background1"/>
      </w:rPr>
      <w:t>INFORMÁTICA Y</w:t>
    </w:r>
    <w:r w:rsidRPr="00F5261C">
      <w:rPr>
        <w:color w:val="FFFFFF" w:themeColor="background1"/>
      </w:rPr>
      <w:t xml:space="preserve"> </w:t>
    </w:r>
    <w:r w:rsidRPr="00F5261C">
      <w:rPr>
        <w:b/>
        <w:color w:val="FFFFFF" w:themeColor="background1"/>
      </w:rPr>
      <w:t>TELECOMUNICACIONES</w:t>
    </w:r>
    <w:r>
      <w:rPr>
        <w:noProof/>
        <w:lang w:eastAsia="es-CL"/>
      </w:rPr>
      <w:t xml:space="preserve"> </w:t>
    </w:r>
    <w:r w:rsidR="0015224B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3D57544A" wp14:editId="5A497565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F4F04F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15224B" w:rsidRPr="004D4368">
      <w:rPr>
        <w:noProof/>
        <w:lang w:eastAsia="es-CL"/>
      </w:rPr>
      <w:drawing>
        <wp:anchor distT="0" distB="0" distL="114300" distR="114300" simplePos="0" relativeHeight="251658242" behindDoc="1" locked="0" layoutInCell="1" allowOverlap="1" wp14:anchorId="4F298DB7" wp14:editId="082E802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E323B"/>
    <w:multiLevelType w:val="multilevel"/>
    <w:tmpl w:val="9B8828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A0968"/>
    <w:multiLevelType w:val="multilevel"/>
    <w:tmpl w:val="2CCCD6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84" w:hanging="1440"/>
      </w:pPr>
      <w:rPr>
        <w:rFonts w:hint="default"/>
      </w:rPr>
    </w:lvl>
  </w:abstractNum>
  <w:abstractNum w:abstractNumId="4" w15:restartNumberingAfterBreak="0">
    <w:nsid w:val="16B5469F"/>
    <w:multiLevelType w:val="hybridMultilevel"/>
    <w:tmpl w:val="3C8C32CC"/>
    <w:lvl w:ilvl="0" w:tplc="04F801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143C3"/>
    <w:multiLevelType w:val="hybridMultilevel"/>
    <w:tmpl w:val="DB62C024"/>
    <w:lvl w:ilvl="0" w:tplc="CD166B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37989"/>
    <w:multiLevelType w:val="multilevel"/>
    <w:tmpl w:val="7CCE704E"/>
    <w:lvl w:ilvl="0">
      <w:start w:val="1"/>
      <w:numFmt w:val="decimal"/>
      <w:lvlText w:val="%1."/>
      <w:lvlJc w:val="left"/>
      <w:pPr>
        <w:ind w:left="1098" w:hanging="39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lvlText w:val="%1.%2."/>
      <w:lvlJc w:val="left"/>
      <w:pPr>
        <w:ind w:left="1458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7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2629C"/>
    <w:multiLevelType w:val="multilevel"/>
    <w:tmpl w:val="B186F2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434A3859"/>
    <w:multiLevelType w:val="multilevel"/>
    <w:tmpl w:val="D7EACF8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4C0E0299"/>
    <w:multiLevelType w:val="multilevel"/>
    <w:tmpl w:val="3D8A27C4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Subtitulo1"/>
      <w:lvlText w:val="%2."/>
      <w:lvlJc w:val="left"/>
      <w:pPr>
        <w:ind w:left="1500" w:hanging="432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1" w15:restartNumberingAfterBreak="0">
    <w:nsid w:val="4E183FCC"/>
    <w:multiLevelType w:val="multilevel"/>
    <w:tmpl w:val="DF182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1C96587"/>
    <w:multiLevelType w:val="hybridMultilevel"/>
    <w:tmpl w:val="638ECD80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56032F"/>
    <w:multiLevelType w:val="multilevel"/>
    <w:tmpl w:val="B2167312"/>
    <w:lvl w:ilvl="0">
      <w:start w:val="1"/>
      <w:numFmt w:val="upperRoman"/>
      <w:pStyle w:val="Ttulo1"/>
      <w:lvlText w:val="%1."/>
      <w:lvlJc w:val="righ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5941A82"/>
    <w:multiLevelType w:val="hybridMultilevel"/>
    <w:tmpl w:val="2F3C651A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CC04ACB"/>
    <w:multiLevelType w:val="multilevel"/>
    <w:tmpl w:val="05C2621C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9984" w:hanging="1440"/>
      </w:pPr>
      <w:rPr>
        <w:rFonts w:eastAsiaTheme="minorHAnsi" w:hint="default"/>
      </w:rPr>
    </w:lvl>
  </w:abstractNum>
  <w:abstractNum w:abstractNumId="17" w15:restartNumberingAfterBreak="0">
    <w:nsid w:val="6DD30D24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4C17045"/>
    <w:multiLevelType w:val="multilevel"/>
    <w:tmpl w:val="9ACC03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15:restartNumberingAfterBreak="0" w:abstractNumId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3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3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3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3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3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3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3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3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D8E323B"/>
    <w:multiLevelType w:val="multilevel"/>
    <w:tmpl w:val="9B8828C4"/>
    <w:lvl w:ilvl="0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10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1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28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391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46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568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639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7104"/>
      </w:pPr>
      <w:rPr>
        <w:rFonts w:hint="default"/>
      </w:rPr>
    </w:lvl>
  </w:abstractNum>
  <w:abstractNum w15:restartNumberingAfterBreak="0" w:abstractNumId="2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3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3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3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3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3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3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3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3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66A0968"/>
    <w:multiLevelType w:val="multilevel"/>
    <w:tmpl w:val="2CCCD6F2"/>
    <w:lvl w:ilvl="0">
      <w:start w:val="6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14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85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392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53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6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78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891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9984"/>
      </w:pPr>
      <w:rPr>
        <w:rFonts w:hint="default"/>
      </w:rPr>
    </w:lvl>
  </w:abstractNum>
  <w:abstractNum w15:restartNumberingAfterBreak="0" w:abstractNumId="4">
    <w:nsid w:val="16B5469F"/>
    <w:multiLevelType w:val="hybridMultilevel"/>
    <w:tmpl w:val="3C8C32CC"/>
    <w:lvl w:ilvl="0" w:tplc="04F8016E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340A0019">
      <w:start w:val="1"/>
      <w:numFmt w:val="lowerLetter"/>
      <w:lvlText w:val="%2."/>
      <w:lvlJc w:val="left"/>
      <w:pPr>
        <w:ind w:hanging="360" w:left="1440"/>
      </w:pPr>
    </w:lvl>
    <w:lvl w:ilvl="2" w:tentative="1" w:tplc="340A001B">
      <w:start w:val="1"/>
      <w:numFmt w:val="lowerRoman"/>
      <w:lvlText w:val="%3."/>
      <w:lvlJc w:val="right"/>
      <w:pPr>
        <w:ind w:hanging="180" w:left="2160"/>
      </w:pPr>
    </w:lvl>
    <w:lvl w:ilvl="3" w:tentative="1" w:tplc="340A000F">
      <w:start w:val="1"/>
      <w:numFmt w:val="decimal"/>
      <w:lvlText w:val="%4."/>
      <w:lvlJc w:val="left"/>
      <w:pPr>
        <w:ind w:hanging="360" w:left="2880"/>
      </w:pPr>
    </w:lvl>
    <w:lvl w:ilvl="4" w:tentative="1" w:tplc="340A0019">
      <w:start w:val="1"/>
      <w:numFmt w:val="lowerLetter"/>
      <w:lvlText w:val="%5."/>
      <w:lvlJc w:val="left"/>
      <w:pPr>
        <w:ind w:hanging="360" w:left="3600"/>
      </w:pPr>
    </w:lvl>
    <w:lvl w:ilvl="5" w:tentative="1" w:tplc="340A001B">
      <w:start w:val="1"/>
      <w:numFmt w:val="lowerRoman"/>
      <w:lvlText w:val="%6."/>
      <w:lvlJc w:val="right"/>
      <w:pPr>
        <w:ind w:hanging="180" w:left="4320"/>
      </w:pPr>
    </w:lvl>
    <w:lvl w:ilvl="6" w:tentative="1" w:tplc="340A000F">
      <w:start w:val="1"/>
      <w:numFmt w:val="decimal"/>
      <w:lvlText w:val="%7."/>
      <w:lvlJc w:val="left"/>
      <w:pPr>
        <w:ind w:hanging="360" w:left="5040"/>
      </w:pPr>
    </w:lvl>
    <w:lvl w:ilvl="7" w:tentative="1" w:tplc="340A0019">
      <w:start w:val="1"/>
      <w:numFmt w:val="lowerLetter"/>
      <w:lvlText w:val="%8."/>
      <w:lvlJc w:val="left"/>
      <w:pPr>
        <w:ind w:hanging="360" w:left="5760"/>
      </w:pPr>
    </w:lvl>
    <w:lvl w:ilvl="8" w:tentative="1" w:tplc="3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191143C3"/>
    <w:multiLevelType w:val="hybridMultilevel"/>
    <w:tmpl w:val="DB62C024"/>
    <w:lvl w:ilvl="0" w:tplc="CD166B80">
      <w:start w:val="1"/>
      <w:numFmt w:val="decimal"/>
      <w:lvlText w:val="%1."/>
      <w:lvlJc w:val="left"/>
      <w:pPr>
        <w:ind w:hanging="360" w:left="720"/>
      </w:pPr>
      <w:rPr>
        <w:rFonts w:asciiTheme="minorHAnsi" w:cstheme="minorBidi" w:eastAsiaTheme="minorHAnsi" w:hAnsiTheme="minorHAnsi"/>
      </w:rPr>
    </w:lvl>
    <w:lvl w:ilvl="1" w:tentative="1" w:tplc="340A0019">
      <w:start w:val="1"/>
      <w:numFmt w:val="lowerLetter"/>
      <w:lvlText w:val="%2."/>
      <w:lvlJc w:val="left"/>
      <w:pPr>
        <w:ind w:hanging="360" w:left="1440"/>
      </w:pPr>
    </w:lvl>
    <w:lvl w:ilvl="2" w:tentative="1" w:tplc="340A001B">
      <w:start w:val="1"/>
      <w:numFmt w:val="lowerRoman"/>
      <w:lvlText w:val="%3."/>
      <w:lvlJc w:val="right"/>
      <w:pPr>
        <w:ind w:hanging="180" w:left="2160"/>
      </w:pPr>
    </w:lvl>
    <w:lvl w:ilvl="3" w:tentative="1" w:tplc="340A000F">
      <w:start w:val="1"/>
      <w:numFmt w:val="decimal"/>
      <w:lvlText w:val="%4."/>
      <w:lvlJc w:val="left"/>
      <w:pPr>
        <w:ind w:hanging="360" w:left="2880"/>
      </w:pPr>
    </w:lvl>
    <w:lvl w:ilvl="4" w:tentative="1" w:tplc="340A0019">
      <w:start w:val="1"/>
      <w:numFmt w:val="lowerLetter"/>
      <w:lvlText w:val="%5."/>
      <w:lvlJc w:val="left"/>
      <w:pPr>
        <w:ind w:hanging="360" w:left="3600"/>
      </w:pPr>
    </w:lvl>
    <w:lvl w:ilvl="5" w:tentative="1" w:tplc="340A001B">
      <w:start w:val="1"/>
      <w:numFmt w:val="lowerRoman"/>
      <w:lvlText w:val="%6."/>
      <w:lvlJc w:val="right"/>
      <w:pPr>
        <w:ind w:hanging="180" w:left="4320"/>
      </w:pPr>
    </w:lvl>
    <w:lvl w:ilvl="6" w:tentative="1" w:tplc="340A000F">
      <w:start w:val="1"/>
      <w:numFmt w:val="decimal"/>
      <w:lvlText w:val="%7."/>
      <w:lvlJc w:val="left"/>
      <w:pPr>
        <w:ind w:hanging="360" w:left="5040"/>
      </w:pPr>
    </w:lvl>
    <w:lvl w:ilvl="7" w:tentative="1" w:tplc="340A0019">
      <w:start w:val="1"/>
      <w:numFmt w:val="lowerLetter"/>
      <w:lvlText w:val="%8."/>
      <w:lvlJc w:val="left"/>
      <w:pPr>
        <w:ind w:hanging="360" w:left="5760"/>
      </w:pPr>
    </w:lvl>
    <w:lvl w:ilvl="8" w:tentative="1" w:tplc="3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0337989"/>
    <w:multiLevelType w:val="multilevel"/>
    <w:tmpl w:val="7CCE704E"/>
    <w:lvl w:ilvl="0">
      <w:start w:val="1"/>
      <w:numFmt w:val="decimal"/>
      <w:lvlText w:val="%1."/>
      <w:lvlJc w:val="left"/>
      <w:pPr>
        <w:ind w:hanging="390" w:left="1098"/>
      </w:pPr>
      <w:rPr>
        <w:rFonts w:asciiTheme="minorHAnsi" w:cstheme="minorBidi" w:eastAsiaTheme="minorEastAsia" w:hAnsiTheme="minorHAnsi"/>
      </w:rPr>
    </w:lvl>
    <w:lvl w:ilvl="1">
      <w:start w:val="1"/>
      <w:numFmt w:val="decimal"/>
      <w:lvlText w:val="%1.%2."/>
      <w:lvlJc w:val="left"/>
      <w:pPr>
        <w:ind w:hanging="390" w:left="145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214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25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322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358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43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466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5388"/>
      </w:pPr>
      <w:rPr>
        <w:rFonts w:hint="default"/>
      </w:rPr>
    </w:lvl>
  </w:abstractNum>
  <w:abstractNum w15:restartNumberingAfterBreak="0" w:abstractNumId="7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hanging="360" w:left="360"/>
      </w:pPr>
      <w:rPr>
        <w:rFonts w:ascii="Calibri" w:hAnsi="Calibri" w:hint="default"/>
        <w:b/>
        <w:i w:val="0"/>
        <w:color w:themeColor="text1" w:themeTint="BF" w:val="404040"/>
        <w:sz w:val="22"/>
        <w:u w:color="FFFFFF" w:themeColor="background1"/>
      </w:rPr>
    </w:lvl>
    <w:lvl w:ilvl="1" w:tentative="1" w:tplc="340A0019">
      <w:start w:val="1"/>
      <w:numFmt w:val="lowerLetter"/>
      <w:lvlText w:val="%2."/>
      <w:lvlJc w:val="left"/>
      <w:pPr>
        <w:ind w:hanging="360" w:left="1440"/>
      </w:pPr>
    </w:lvl>
    <w:lvl w:ilvl="2" w:tentative="1" w:tplc="340A001B">
      <w:start w:val="1"/>
      <w:numFmt w:val="lowerRoman"/>
      <w:lvlText w:val="%3."/>
      <w:lvlJc w:val="right"/>
      <w:pPr>
        <w:ind w:hanging="180" w:left="2160"/>
      </w:pPr>
    </w:lvl>
    <w:lvl w:ilvl="3" w:tentative="1" w:tplc="340A000F">
      <w:start w:val="1"/>
      <w:numFmt w:val="decimal"/>
      <w:lvlText w:val="%4."/>
      <w:lvlJc w:val="left"/>
      <w:pPr>
        <w:ind w:hanging="360" w:left="2880"/>
      </w:pPr>
    </w:lvl>
    <w:lvl w:ilvl="4" w:tentative="1" w:tplc="340A0019">
      <w:start w:val="1"/>
      <w:numFmt w:val="lowerLetter"/>
      <w:lvlText w:val="%5."/>
      <w:lvlJc w:val="left"/>
      <w:pPr>
        <w:ind w:hanging="360" w:left="3600"/>
      </w:pPr>
    </w:lvl>
    <w:lvl w:ilvl="5" w:tentative="1" w:tplc="340A001B">
      <w:start w:val="1"/>
      <w:numFmt w:val="lowerRoman"/>
      <w:lvlText w:val="%6."/>
      <w:lvlJc w:val="right"/>
      <w:pPr>
        <w:ind w:hanging="180" w:left="4320"/>
      </w:pPr>
    </w:lvl>
    <w:lvl w:ilvl="6" w:tentative="1" w:tplc="340A000F">
      <w:start w:val="1"/>
      <w:numFmt w:val="decimal"/>
      <w:lvlText w:val="%7."/>
      <w:lvlJc w:val="left"/>
      <w:pPr>
        <w:ind w:hanging="360" w:left="5040"/>
      </w:pPr>
    </w:lvl>
    <w:lvl w:ilvl="7" w:tentative="1" w:tplc="340A0019">
      <w:start w:val="1"/>
      <w:numFmt w:val="lowerLetter"/>
      <w:lvlText w:val="%8."/>
      <w:lvlJc w:val="left"/>
      <w:pPr>
        <w:ind w:hanging="360" w:left="5760"/>
      </w:pPr>
    </w:lvl>
    <w:lvl w:ilvl="8" w:tentative="1" w:tplc="3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952629C"/>
    <w:multiLevelType w:val="multilevel"/>
    <w:tmpl w:val="B186F2B6"/>
    <w:lvl w:ilvl="0">
      <w:start w:val="4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10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1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28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391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46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568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639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7104"/>
      </w:pPr>
      <w:rPr>
        <w:rFonts w:hint="default"/>
      </w:rPr>
    </w:lvl>
  </w:abstractNum>
  <w:abstractNum w15:restartNumberingAfterBreak="0" w:abstractNumId="9">
    <w:nsid w:val="434A3859"/>
    <w:multiLevelType w:val="multilevel"/>
    <w:tmpl w:val="D7EACF82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10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1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28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391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46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568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639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7104"/>
      </w:pPr>
      <w:rPr>
        <w:rFonts w:hint="default"/>
      </w:rPr>
    </w:lvl>
  </w:abstractNum>
  <w:abstractNum w15:restartNumberingAfterBreak="0" w:abstractNumId="10">
    <w:nsid w:val="4C0E0299"/>
    <w:multiLevelType w:val="multilevel"/>
    <w:tmpl w:val="3D8A27C4"/>
    <w:lvl w:ilvl="0">
      <w:start w:val="1"/>
      <w:numFmt w:val="decimal"/>
      <w:lvlText w:val="%1."/>
      <w:lvlJc w:val="left"/>
      <w:pPr>
        <w:ind w:hanging="360" w:left="1068"/>
      </w:pPr>
      <w:rPr>
        <w:rFonts w:asciiTheme="minorHAnsi" w:cstheme="minorBidi" w:eastAsiaTheme="minorEastAsia" w:hAnsiTheme="minorHAnsi"/>
      </w:rPr>
    </w:lvl>
    <w:lvl w:ilvl="1">
      <w:start w:val="1"/>
      <w:numFmt w:val="decimal"/>
      <w:pStyle w:val="Subtitulo1"/>
      <w:lvlText w:val="%2."/>
      <w:lvlJc w:val="left"/>
      <w:pPr>
        <w:ind w:hanging="432" w:left="1500"/>
      </w:pPr>
      <w:rPr>
        <w:rFonts w:asciiTheme="minorHAnsi" w:cstheme="minorBidi" w:eastAsiaTheme="minorEastAsia" w:hAnsiTheme="minorHAnsi"/>
      </w:rPr>
    </w:lvl>
    <w:lvl w:ilvl="2">
      <w:start w:val="1"/>
      <w:numFmt w:val="decimal"/>
      <w:lvlText w:val="%1.%2.%3."/>
      <w:lvlJc w:val="left"/>
      <w:pPr>
        <w:ind w:hanging="504" w:left="19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24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9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344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94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445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5028"/>
      </w:pPr>
      <w:rPr>
        <w:rFonts w:hint="default"/>
      </w:rPr>
    </w:lvl>
  </w:abstractNum>
  <w:abstractNum w15:restartNumberingAfterBreak="0" w:abstractNumId="11">
    <w:nsid w:val="4E183FCC"/>
    <w:multiLevelType w:val="multilevel"/>
    <w:tmpl w:val="DF182B26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720" w:left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4680"/>
      </w:pPr>
      <w:rPr>
        <w:rFonts w:hint="default"/>
      </w:rPr>
    </w:lvl>
  </w:abstractNum>
  <w:abstractNum w15:restartNumberingAfterBreak="0" w:abstractNumId="12">
    <w:nsid w:val="51C96587"/>
    <w:multiLevelType w:val="hybridMultilevel"/>
    <w:tmpl w:val="638ECD80"/>
    <w:lvl w:ilvl="0" w:tplc="340A000F">
      <w:start w:val="1"/>
      <w:numFmt w:val="decimal"/>
      <w:lvlText w:val="%1."/>
      <w:lvlJc w:val="left"/>
      <w:pPr>
        <w:ind w:hanging="360" w:left="1068"/>
      </w:pPr>
      <w:rPr>
        <w:rFonts w:hint="default"/>
      </w:rPr>
    </w:lvl>
    <w:lvl w:ilvl="1" w:tentative="1" w:tplc="340A0019">
      <w:start w:val="1"/>
      <w:numFmt w:val="lowerLetter"/>
      <w:lvlText w:val="%2."/>
      <w:lvlJc w:val="left"/>
      <w:pPr>
        <w:ind w:hanging="360" w:left="1788"/>
      </w:pPr>
    </w:lvl>
    <w:lvl w:ilvl="2" w:tentative="1" w:tplc="340A001B">
      <w:start w:val="1"/>
      <w:numFmt w:val="lowerRoman"/>
      <w:lvlText w:val="%3."/>
      <w:lvlJc w:val="right"/>
      <w:pPr>
        <w:ind w:hanging="180" w:left="2508"/>
      </w:pPr>
    </w:lvl>
    <w:lvl w:ilvl="3" w:tentative="1" w:tplc="340A000F">
      <w:start w:val="1"/>
      <w:numFmt w:val="decimal"/>
      <w:lvlText w:val="%4."/>
      <w:lvlJc w:val="left"/>
      <w:pPr>
        <w:ind w:hanging="360" w:left="3228"/>
      </w:pPr>
    </w:lvl>
    <w:lvl w:ilvl="4" w:tentative="1" w:tplc="340A0019">
      <w:start w:val="1"/>
      <w:numFmt w:val="lowerLetter"/>
      <w:lvlText w:val="%5."/>
      <w:lvlJc w:val="left"/>
      <w:pPr>
        <w:ind w:hanging="360" w:left="3948"/>
      </w:pPr>
    </w:lvl>
    <w:lvl w:ilvl="5" w:tentative="1" w:tplc="340A001B">
      <w:start w:val="1"/>
      <w:numFmt w:val="lowerRoman"/>
      <w:lvlText w:val="%6."/>
      <w:lvlJc w:val="right"/>
      <w:pPr>
        <w:ind w:hanging="180" w:left="4668"/>
      </w:pPr>
    </w:lvl>
    <w:lvl w:ilvl="6" w:tentative="1" w:tplc="340A000F">
      <w:start w:val="1"/>
      <w:numFmt w:val="decimal"/>
      <w:lvlText w:val="%7."/>
      <w:lvlJc w:val="left"/>
      <w:pPr>
        <w:ind w:hanging="360" w:left="5388"/>
      </w:pPr>
    </w:lvl>
    <w:lvl w:ilvl="7" w:tentative="1" w:tplc="340A0019">
      <w:start w:val="1"/>
      <w:numFmt w:val="lowerLetter"/>
      <w:lvlText w:val="%8."/>
      <w:lvlJc w:val="left"/>
      <w:pPr>
        <w:ind w:hanging="360" w:left="6108"/>
      </w:pPr>
    </w:lvl>
    <w:lvl w:ilvl="8" w:tentative="1" w:tplc="340A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13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hanging="360" w:left="360"/>
      </w:pPr>
      <w:rPr>
        <w:rFonts w:hint="default"/>
      </w:rPr>
    </w:lvl>
    <w:lvl w:ilvl="1" w:tentative="1" w:tplc="340A0019">
      <w:start w:val="1"/>
      <w:numFmt w:val="lowerLetter"/>
      <w:lvlText w:val="%2."/>
      <w:lvlJc w:val="left"/>
      <w:pPr>
        <w:ind w:hanging="360" w:left="1080"/>
      </w:pPr>
    </w:lvl>
    <w:lvl w:ilvl="2" w:tentative="1" w:tplc="340A001B">
      <w:start w:val="1"/>
      <w:numFmt w:val="lowerRoman"/>
      <w:lvlText w:val="%3."/>
      <w:lvlJc w:val="right"/>
      <w:pPr>
        <w:ind w:hanging="180" w:left="1800"/>
      </w:pPr>
    </w:lvl>
    <w:lvl w:ilvl="3" w:tentative="1" w:tplc="340A000F">
      <w:start w:val="1"/>
      <w:numFmt w:val="decimal"/>
      <w:lvlText w:val="%4."/>
      <w:lvlJc w:val="left"/>
      <w:pPr>
        <w:ind w:hanging="360" w:left="2520"/>
      </w:pPr>
    </w:lvl>
    <w:lvl w:ilvl="4" w:tentative="1" w:tplc="340A0019">
      <w:start w:val="1"/>
      <w:numFmt w:val="lowerLetter"/>
      <w:lvlText w:val="%5."/>
      <w:lvlJc w:val="left"/>
      <w:pPr>
        <w:ind w:hanging="360" w:left="3240"/>
      </w:pPr>
    </w:lvl>
    <w:lvl w:ilvl="5" w:tentative="1" w:tplc="340A001B">
      <w:start w:val="1"/>
      <w:numFmt w:val="lowerRoman"/>
      <w:lvlText w:val="%6."/>
      <w:lvlJc w:val="right"/>
      <w:pPr>
        <w:ind w:hanging="180" w:left="3960"/>
      </w:pPr>
    </w:lvl>
    <w:lvl w:ilvl="6" w:tentative="1" w:tplc="340A000F">
      <w:start w:val="1"/>
      <w:numFmt w:val="decimal"/>
      <w:lvlText w:val="%7."/>
      <w:lvlJc w:val="left"/>
      <w:pPr>
        <w:ind w:hanging="360" w:left="4680"/>
      </w:pPr>
    </w:lvl>
    <w:lvl w:ilvl="7" w:tentative="1" w:tplc="340A0019">
      <w:start w:val="1"/>
      <w:numFmt w:val="lowerLetter"/>
      <w:lvlText w:val="%8."/>
      <w:lvlJc w:val="left"/>
      <w:pPr>
        <w:ind w:hanging="360" w:left="5400"/>
      </w:pPr>
    </w:lvl>
    <w:lvl w:ilvl="8" w:tentative="1" w:tplc="34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4">
    <w:nsid w:val="5956032F"/>
    <w:multiLevelType w:val="multilevel"/>
    <w:tmpl w:val="B2167312"/>
    <w:lvl w:ilvl="0">
      <w:start w:val="1"/>
      <w:numFmt w:val="upperRoman"/>
      <w:pStyle w:val="Ttulo1"/>
      <w:lvlText w:val="%1."/>
      <w:lvlJc w:val="right"/>
      <w:pPr>
        <w:ind w:hanging="360" w:left="360"/>
      </w:pPr>
      <w:rPr>
        <w:rFonts w:hint="default"/>
        <w:b/>
        <w:i w:val="0"/>
        <w:color w:themeColor="text1" w:themeTint="BF" w:val="404040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15">
    <w:nsid w:val="65941A82"/>
    <w:multiLevelType w:val="hybridMultilevel"/>
    <w:tmpl w:val="2F3C651A"/>
    <w:lvl w:ilvl="0" w:tplc="340A000F">
      <w:start w:val="1"/>
      <w:numFmt w:val="decimal"/>
      <w:lvlText w:val="%1."/>
      <w:lvlJc w:val="left"/>
      <w:pPr>
        <w:ind w:hanging="360" w:left="1068"/>
      </w:pPr>
      <w:rPr>
        <w:rFonts w:hint="default"/>
      </w:rPr>
    </w:lvl>
    <w:lvl w:ilvl="1" w:tentative="1" w:tplc="340A0019">
      <w:start w:val="1"/>
      <w:numFmt w:val="lowerLetter"/>
      <w:lvlText w:val="%2."/>
      <w:lvlJc w:val="left"/>
      <w:pPr>
        <w:ind w:hanging="360" w:left="1788"/>
      </w:pPr>
    </w:lvl>
    <w:lvl w:ilvl="2" w:tentative="1" w:tplc="340A001B">
      <w:start w:val="1"/>
      <w:numFmt w:val="lowerRoman"/>
      <w:lvlText w:val="%3."/>
      <w:lvlJc w:val="right"/>
      <w:pPr>
        <w:ind w:hanging="180" w:left="2508"/>
      </w:pPr>
    </w:lvl>
    <w:lvl w:ilvl="3" w:tentative="1" w:tplc="340A000F">
      <w:start w:val="1"/>
      <w:numFmt w:val="decimal"/>
      <w:lvlText w:val="%4."/>
      <w:lvlJc w:val="left"/>
      <w:pPr>
        <w:ind w:hanging="360" w:left="3228"/>
      </w:pPr>
    </w:lvl>
    <w:lvl w:ilvl="4" w:tentative="1" w:tplc="340A0019">
      <w:start w:val="1"/>
      <w:numFmt w:val="lowerLetter"/>
      <w:lvlText w:val="%5."/>
      <w:lvlJc w:val="left"/>
      <w:pPr>
        <w:ind w:hanging="360" w:left="3948"/>
      </w:pPr>
    </w:lvl>
    <w:lvl w:ilvl="5" w:tentative="1" w:tplc="340A001B">
      <w:start w:val="1"/>
      <w:numFmt w:val="lowerRoman"/>
      <w:lvlText w:val="%6."/>
      <w:lvlJc w:val="right"/>
      <w:pPr>
        <w:ind w:hanging="180" w:left="4668"/>
      </w:pPr>
    </w:lvl>
    <w:lvl w:ilvl="6" w:tentative="1" w:tplc="340A000F">
      <w:start w:val="1"/>
      <w:numFmt w:val="decimal"/>
      <w:lvlText w:val="%7."/>
      <w:lvlJc w:val="left"/>
      <w:pPr>
        <w:ind w:hanging="360" w:left="5388"/>
      </w:pPr>
    </w:lvl>
    <w:lvl w:ilvl="7" w:tentative="1" w:tplc="340A0019">
      <w:start w:val="1"/>
      <w:numFmt w:val="lowerLetter"/>
      <w:lvlText w:val="%8."/>
      <w:lvlJc w:val="left"/>
      <w:pPr>
        <w:ind w:hanging="360" w:left="6108"/>
      </w:pPr>
    </w:lvl>
    <w:lvl w:ilvl="8" w:tentative="1" w:tplc="340A001B">
      <w:start w:val="1"/>
      <w:numFmt w:val="lowerRoman"/>
      <w:lvlText w:val="%9."/>
      <w:lvlJc w:val="right"/>
      <w:pPr>
        <w:ind w:hanging="180" w:left="6828"/>
      </w:pPr>
    </w:lvl>
  </w:abstractNum>
  <w:abstractNum w15:restartNumberingAfterBreak="0" w:abstractNumId="16">
    <w:nsid w:val="6CC04ACB"/>
    <w:multiLevelType w:val="multilevel"/>
    <w:tmpl w:val="05C2621C"/>
    <w:lvl w:ilvl="0">
      <w:start w:val="2"/>
      <w:numFmt w:val="decimal"/>
      <w:lvlText w:val="%1"/>
      <w:lvlJc w:val="left"/>
      <w:pPr>
        <w:ind w:hanging="360" w:left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hanging="360" w:left="1428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hanging="720" w:left="2856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hanging="720" w:left="3924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hanging="1080" w:left="5352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hanging="1080" w:left="642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hanging="1440" w:left="7848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hanging="1440" w:left="8916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hanging="1440" w:left="9984"/>
      </w:pPr>
      <w:rPr>
        <w:rFonts w:eastAsiaTheme="minorHAnsi" w:hint="default"/>
      </w:rPr>
    </w:lvl>
  </w:abstractNum>
  <w:abstractNum w15:restartNumberingAfterBreak="0" w:abstractNumId="17">
    <w:nsid w:val="6DD30D24"/>
    <w:multiLevelType w:val="multilevel"/>
    <w:tmpl w:val="340A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74C17045"/>
    <w:multiLevelType w:val="multilevel"/>
    <w:tmpl w:val="9ACC03A8"/>
    <w:lvl w:ilvl="0">
      <w:start w:val="7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10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1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28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391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46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568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639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7104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6807313">
    <w:abstractNumId w:val="0"/>
  </w:num>
  <w:num w:numId="2" w16cid:durableId="1036585391">
    <w:abstractNumId w:val="13"/>
  </w:num>
  <w:num w:numId="3" w16cid:durableId="1210612143">
    <w:abstractNumId w:val="7"/>
  </w:num>
  <w:num w:numId="4" w16cid:durableId="1142652201">
    <w:abstractNumId w:val="2"/>
  </w:num>
  <w:num w:numId="5" w16cid:durableId="1224831697">
    <w:abstractNumId w:val="14"/>
  </w:num>
  <w:num w:numId="6" w16cid:durableId="1785271291">
    <w:abstractNumId w:val="10"/>
  </w:num>
  <w:num w:numId="7" w16cid:durableId="1134833980">
    <w:abstractNumId w:val="17"/>
  </w:num>
  <w:num w:numId="8" w16cid:durableId="557591849">
    <w:abstractNumId w:val="11"/>
  </w:num>
  <w:num w:numId="9" w16cid:durableId="101538288">
    <w:abstractNumId w:val="10"/>
  </w:num>
  <w:num w:numId="10" w16cid:durableId="1547640052">
    <w:abstractNumId w:val="10"/>
  </w:num>
  <w:num w:numId="11" w16cid:durableId="4409505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98915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8649161">
    <w:abstractNumId w:val="4"/>
  </w:num>
  <w:num w:numId="14" w16cid:durableId="232814723">
    <w:abstractNumId w:val="10"/>
  </w:num>
  <w:num w:numId="15" w16cid:durableId="291594361">
    <w:abstractNumId w:val="5"/>
  </w:num>
  <w:num w:numId="16" w16cid:durableId="13130980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6496332">
    <w:abstractNumId w:val="15"/>
  </w:num>
  <w:num w:numId="18" w16cid:durableId="1562059018">
    <w:abstractNumId w:val="12"/>
  </w:num>
  <w:num w:numId="19" w16cid:durableId="1389380205">
    <w:abstractNumId w:val="6"/>
  </w:num>
  <w:num w:numId="20" w16cid:durableId="1034117898">
    <w:abstractNumId w:val="10"/>
    <w:lvlOverride w:ilvl="0">
      <w:startOverride w:val="1"/>
    </w:lvlOverride>
  </w:num>
  <w:num w:numId="21" w16cid:durableId="669333499">
    <w:abstractNumId w:val="16"/>
  </w:num>
  <w:num w:numId="22" w16cid:durableId="1911499057">
    <w:abstractNumId w:val="10"/>
  </w:num>
  <w:num w:numId="23" w16cid:durableId="706219080">
    <w:abstractNumId w:val="1"/>
  </w:num>
  <w:num w:numId="24" w16cid:durableId="859702115">
    <w:abstractNumId w:val="10"/>
  </w:num>
  <w:num w:numId="25" w16cid:durableId="1684821083">
    <w:abstractNumId w:val="8"/>
  </w:num>
  <w:num w:numId="26" w16cid:durableId="752091138">
    <w:abstractNumId w:val="10"/>
  </w:num>
  <w:num w:numId="27" w16cid:durableId="728192654">
    <w:abstractNumId w:val="9"/>
  </w:num>
  <w:num w:numId="28" w16cid:durableId="87042371">
    <w:abstractNumId w:val="10"/>
  </w:num>
  <w:num w:numId="29" w16cid:durableId="1077046843">
    <w:abstractNumId w:val="3"/>
  </w:num>
  <w:num w:numId="30" w16cid:durableId="92629990">
    <w:abstractNumId w:val="10"/>
  </w:num>
  <w:num w:numId="31" w16cid:durableId="1624772616">
    <w:abstractNumId w:val="18"/>
  </w:num>
  <w:numIdMacAtCleanup w:val="12"/>
  <w:num w16cid:durableId="996807313" w:numId="1">
    <w:abstractNumId w:val="0"/>
  </w:num>
  <w:num w16cid:durableId="1036585391" w:numId="2">
    <w:abstractNumId w:val="13"/>
  </w:num>
  <w:num w16cid:durableId="1210612143" w:numId="3">
    <w:abstractNumId w:val="7"/>
  </w:num>
  <w:num w16cid:durableId="1142652201" w:numId="4">
    <w:abstractNumId w:val="2"/>
  </w:num>
  <w:num w16cid:durableId="1224831697" w:numId="5">
    <w:abstractNumId w:val="14"/>
  </w:num>
  <w:num w16cid:durableId="1785271291" w:numId="6">
    <w:abstractNumId w:val="10"/>
  </w:num>
  <w:num w16cid:durableId="1134833980" w:numId="7">
    <w:abstractNumId w:val="17"/>
  </w:num>
  <w:num w16cid:durableId="557591849" w:numId="8">
    <w:abstractNumId w:val="11"/>
  </w:num>
  <w:num w16cid:durableId="101538288" w:numId="9">
    <w:abstractNumId w:val="10"/>
  </w:num>
  <w:num w16cid:durableId="1547640052" w:numId="10">
    <w:abstractNumId w:val="10"/>
  </w:num>
  <w:num w16cid:durableId="440950579"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89891557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08649161" w:numId="13">
    <w:abstractNumId w:val="4"/>
  </w:num>
  <w:num w16cid:durableId="232814723" w:numId="14">
    <w:abstractNumId w:val="10"/>
  </w:num>
  <w:num w16cid:durableId="291594361" w:numId="15">
    <w:abstractNumId w:val="5"/>
  </w:num>
  <w:num w16cid:durableId="1313098068"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76496332" w:numId="17">
    <w:abstractNumId w:val="15"/>
  </w:num>
  <w:num w16cid:durableId="1562059018" w:numId="18">
    <w:abstractNumId w:val="12"/>
  </w:num>
  <w:num w16cid:durableId="1389380205" w:numId="19">
    <w:abstractNumId w:val="6"/>
  </w:num>
  <w:num w16cid:durableId="1034117898" w:numId="20">
    <w:abstractNumId w:val="10"/>
    <w:lvlOverride w:ilvl="0">
      <w:startOverride w:val="1"/>
    </w:lvlOverride>
  </w:num>
  <w:num w16cid:durableId="669333499" w:numId="21">
    <w:abstractNumId w:val="16"/>
  </w:num>
  <w:num w16cid:durableId="1911499057" w:numId="22">
    <w:abstractNumId w:val="10"/>
  </w:num>
  <w:num w16cid:durableId="706219080" w:numId="23">
    <w:abstractNumId w:val="1"/>
  </w:num>
  <w:num w16cid:durableId="859702115" w:numId="24">
    <w:abstractNumId w:val="10"/>
  </w:num>
  <w:num w16cid:durableId="1684821083" w:numId="25">
    <w:abstractNumId w:val="8"/>
  </w:num>
  <w:num w16cid:durableId="752091138" w:numId="26">
    <w:abstractNumId w:val="10"/>
  </w:num>
  <w:num w16cid:durableId="728192654" w:numId="27">
    <w:abstractNumId w:val="9"/>
  </w:num>
  <w:num w16cid:durableId="87042371" w:numId="28">
    <w:abstractNumId w:val="10"/>
  </w:num>
  <w:num w16cid:durableId="1077046843" w:numId="29">
    <w:abstractNumId w:val="3"/>
  </w:num>
  <w:num w16cid:durableId="92629990" w:numId="30">
    <w:abstractNumId w:val="10"/>
  </w:num>
  <w:num w16cid:durableId="1624772616" w:numId="31">
    <w:abstractNumId w:val="18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CL" w:vendorID="64" w:dllVersion="6" w:nlCheck="1" w:checkStyle="0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updateFields w:val="fals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60ED"/>
    <w:rsid w:val="00036490"/>
    <w:rsid w:val="00040F21"/>
    <w:rsid w:val="00063467"/>
    <w:rsid w:val="00063E8B"/>
    <w:rsid w:val="00094556"/>
    <w:rsid w:val="000B4FA2"/>
    <w:rsid w:val="000D5DC5"/>
    <w:rsid w:val="000E0636"/>
    <w:rsid w:val="000E290D"/>
    <w:rsid w:val="000F35B0"/>
    <w:rsid w:val="00101753"/>
    <w:rsid w:val="00104C82"/>
    <w:rsid w:val="00124CD0"/>
    <w:rsid w:val="001334AA"/>
    <w:rsid w:val="00136778"/>
    <w:rsid w:val="00151D4B"/>
    <w:rsid w:val="0015224B"/>
    <w:rsid w:val="0017362F"/>
    <w:rsid w:val="001E16E4"/>
    <w:rsid w:val="001F4CF2"/>
    <w:rsid w:val="00205F2E"/>
    <w:rsid w:val="00232AC1"/>
    <w:rsid w:val="00237CE0"/>
    <w:rsid w:val="00247653"/>
    <w:rsid w:val="002543E9"/>
    <w:rsid w:val="0026646E"/>
    <w:rsid w:val="00271C1F"/>
    <w:rsid w:val="0028236D"/>
    <w:rsid w:val="002855F0"/>
    <w:rsid w:val="0028662D"/>
    <w:rsid w:val="002B143C"/>
    <w:rsid w:val="002D2340"/>
    <w:rsid w:val="002D68C2"/>
    <w:rsid w:val="002E156B"/>
    <w:rsid w:val="002E46CE"/>
    <w:rsid w:val="002E6B7C"/>
    <w:rsid w:val="002F6EA3"/>
    <w:rsid w:val="002F70CC"/>
    <w:rsid w:val="00300041"/>
    <w:rsid w:val="00303474"/>
    <w:rsid w:val="0033445B"/>
    <w:rsid w:val="003407C8"/>
    <w:rsid w:val="003408A7"/>
    <w:rsid w:val="0035180F"/>
    <w:rsid w:val="00351950"/>
    <w:rsid w:val="003530E8"/>
    <w:rsid w:val="00387622"/>
    <w:rsid w:val="003A639D"/>
    <w:rsid w:val="003B2D58"/>
    <w:rsid w:val="003B6BB3"/>
    <w:rsid w:val="003B6F80"/>
    <w:rsid w:val="003E6F1C"/>
    <w:rsid w:val="003F536E"/>
    <w:rsid w:val="0041513A"/>
    <w:rsid w:val="00426DE8"/>
    <w:rsid w:val="00444497"/>
    <w:rsid w:val="0046056B"/>
    <w:rsid w:val="00477225"/>
    <w:rsid w:val="004A238C"/>
    <w:rsid w:val="004B3BBD"/>
    <w:rsid w:val="004B43BF"/>
    <w:rsid w:val="004B67A6"/>
    <w:rsid w:val="004C042A"/>
    <w:rsid w:val="004C10E6"/>
    <w:rsid w:val="004D4368"/>
    <w:rsid w:val="004D4642"/>
    <w:rsid w:val="004E0A47"/>
    <w:rsid w:val="00531198"/>
    <w:rsid w:val="00540915"/>
    <w:rsid w:val="0054299C"/>
    <w:rsid w:val="00546AB1"/>
    <w:rsid w:val="00550AAA"/>
    <w:rsid w:val="00550B29"/>
    <w:rsid w:val="00553226"/>
    <w:rsid w:val="00553B29"/>
    <w:rsid w:val="00580DBA"/>
    <w:rsid w:val="00587B13"/>
    <w:rsid w:val="00595F17"/>
    <w:rsid w:val="005A74FE"/>
    <w:rsid w:val="00620A52"/>
    <w:rsid w:val="00654ED9"/>
    <w:rsid w:val="00655FA3"/>
    <w:rsid w:val="006664B1"/>
    <w:rsid w:val="00682E1A"/>
    <w:rsid w:val="006B5234"/>
    <w:rsid w:val="006D2C87"/>
    <w:rsid w:val="006D2E34"/>
    <w:rsid w:val="006D684F"/>
    <w:rsid w:val="006D74C6"/>
    <w:rsid w:val="006E6180"/>
    <w:rsid w:val="006F7A66"/>
    <w:rsid w:val="00712E1C"/>
    <w:rsid w:val="00771666"/>
    <w:rsid w:val="00771E76"/>
    <w:rsid w:val="00776E9F"/>
    <w:rsid w:val="0079300B"/>
    <w:rsid w:val="007A298F"/>
    <w:rsid w:val="007C0649"/>
    <w:rsid w:val="007D475E"/>
    <w:rsid w:val="00811E29"/>
    <w:rsid w:val="008122C9"/>
    <w:rsid w:val="00812C89"/>
    <w:rsid w:val="00827116"/>
    <w:rsid w:val="00894F08"/>
    <w:rsid w:val="00897416"/>
    <w:rsid w:val="008B169A"/>
    <w:rsid w:val="008E0EFF"/>
    <w:rsid w:val="008F67B0"/>
    <w:rsid w:val="00922EB2"/>
    <w:rsid w:val="00933397"/>
    <w:rsid w:val="0093718C"/>
    <w:rsid w:val="009B65AC"/>
    <w:rsid w:val="009C14FD"/>
    <w:rsid w:val="009E7F45"/>
    <w:rsid w:val="00A07806"/>
    <w:rsid w:val="00A103AE"/>
    <w:rsid w:val="00A24709"/>
    <w:rsid w:val="00A27640"/>
    <w:rsid w:val="00A4516D"/>
    <w:rsid w:val="00A53D4E"/>
    <w:rsid w:val="00A6752E"/>
    <w:rsid w:val="00A708FB"/>
    <w:rsid w:val="00AA4109"/>
    <w:rsid w:val="00AB4EC6"/>
    <w:rsid w:val="00AC3BE6"/>
    <w:rsid w:val="00AD5E3E"/>
    <w:rsid w:val="00AD6DCF"/>
    <w:rsid w:val="00B11924"/>
    <w:rsid w:val="00B119BB"/>
    <w:rsid w:val="00B21711"/>
    <w:rsid w:val="00B51E78"/>
    <w:rsid w:val="00B63AEF"/>
    <w:rsid w:val="00B75976"/>
    <w:rsid w:val="00B7798C"/>
    <w:rsid w:val="00B96431"/>
    <w:rsid w:val="00BB4F62"/>
    <w:rsid w:val="00BF2E5D"/>
    <w:rsid w:val="00BF35F0"/>
    <w:rsid w:val="00C12F6F"/>
    <w:rsid w:val="00C17168"/>
    <w:rsid w:val="00C26026"/>
    <w:rsid w:val="00C4728D"/>
    <w:rsid w:val="00C60A70"/>
    <w:rsid w:val="00C92A5D"/>
    <w:rsid w:val="00CA6CD6"/>
    <w:rsid w:val="00CC5AC5"/>
    <w:rsid w:val="00CE7734"/>
    <w:rsid w:val="00CF7DC7"/>
    <w:rsid w:val="00D15F7F"/>
    <w:rsid w:val="00D17B7D"/>
    <w:rsid w:val="00D17CC7"/>
    <w:rsid w:val="00D21677"/>
    <w:rsid w:val="00D242B2"/>
    <w:rsid w:val="00D401A7"/>
    <w:rsid w:val="00D63436"/>
    <w:rsid w:val="00D7706C"/>
    <w:rsid w:val="00D9338B"/>
    <w:rsid w:val="00DB69A2"/>
    <w:rsid w:val="00DC0E65"/>
    <w:rsid w:val="00DE71C2"/>
    <w:rsid w:val="00DE7CFB"/>
    <w:rsid w:val="00DF3B47"/>
    <w:rsid w:val="00E03072"/>
    <w:rsid w:val="00E03D9D"/>
    <w:rsid w:val="00E12E22"/>
    <w:rsid w:val="00E31953"/>
    <w:rsid w:val="00E35EDD"/>
    <w:rsid w:val="00E53727"/>
    <w:rsid w:val="00E64396"/>
    <w:rsid w:val="00E66AEB"/>
    <w:rsid w:val="00E71D19"/>
    <w:rsid w:val="00EB7FD4"/>
    <w:rsid w:val="00ED4B2A"/>
    <w:rsid w:val="00EE2497"/>
    <w:rsid w:val="00EF081A"/>
    <w:rsid w:val="00EF5A12"/>
    <w:rsid w:val="00F04173"/>
    <w:rsid w:val="00F12EC1"/>
    <w:rsid w:val="00F3099E"/>
    <w:rsid w:val="00F35FB6"/>
    <w:rsid w:val="00F5247D"/>
    <w:rsid w:val="00F73109"/>
    <w:rsid w:val="00F91CD8"/>
    <w:rsid w:val="00FA1EB7"/>
    <w:rsid w:val="00FA3F6E"/>
    <w:rsid w:val="00FB59E7"/>
    <w:rsid w:val="00FC05A7"/>
    <w:rsid w:val="00FC1AD0"/>
    <w:rsid w:val="00FC42B3"/>
    <w:rsid w:val="00FD2D2B"/>
    <w:rsid w:val="00FD3164"/>
    <w:rsid w:val="00FD7858"/>
    <w:rsid w:val="00FE3167"/>
    <w:rsid w:val="00F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B144C"/>
  <w15:docId w15:val="{B0C444AC-6AE6-4C07-A620-3764ED67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3B6BB3"/>
    <w:pPr>
      <w:keepNext/>
      <w:keepLines/>
      <w:spacing w:before="240" w:after="0"/>
      <w:outlineLvl w:val="0"/>
    </w:pPr>
    <w:rPr>
      <w:rFonts w:ascii="Calibri" w:hAnsi="Calibri" w:cs="Calibri"/>
      <w:color w:val="2E74B5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70"/>
    <w:pPr>
      <w:keepNext/>
      <w:keepLines/>
      <w:spacing w:before="40" w:after="0"/>
      <w:outlineLvl w:val="1"/>
    </w:pPr>
    <w:rPr>
      <w:rFonts w:ascii="Calibri" w:hAnsi="Calibri" w:cs="Calibri"/>
      <w:color w:val="2E74B5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70"/>
    <w:pPr>
      <w:keepNext/>
      <w:keepLines/>
      <w:spacing w:before="40" w:after="0"/>
      <w:outlineLvl w:val="2"/>
    </w:pPr>
    <w:rPr>
      <w:rFonts w:ascii="Calibri" w:hAnsi="Calibri" w:cs="Calibr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BB3"/>
    <w:pPr>
      <w:keepNext/>
      <w:keepLines/>
      <w:spacing w:before="40" w:after="0"/>
      <w:outlineLvl w:val="3"/>
    </w:pPr>
    <w:rPr>
      <w:rFonts w:ascii="Calibri" w:hAnsi="Calibri" w:cs="Calibri"/>
      <w:i/>
      <w:iCs/>
      <w:color w:val="2E74B5" w:themeColor="accent1" w:themeShade="BF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  <w:rPr>
      <w:rFonts w:ascii="Calibri" w:hAnsi="Calibri" w:cs="Calibri"/>
      <w:sz w:val="22"/>
      <w:szCs w:val="22"/>
    </w:r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rFonts w:ascii="Calibri" w:hAnsi="Calibri" w:cs="Calibri"/>
      <w:color w:val="4C4C4C"/>
      <w:sz w:val="22"/>
      <w:szCs w:val="22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rFonts w:ascii="Calibri" w:hAnsi="Calibri" w:cs="Calibri"/>
      <w:color w:val="4C4C4C"/>
      <w:sz w:val="22"/>
      <w:szCs w:val="22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rFonts w:ascii="Calibri" w:hAnsi="Calibri" w:cs="Calibri"/>
      <w:b w:val="0"/>
      <w:sz w:val="22"/>
      <w:szCs w:val="2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rFonts w:ascii="Calibri" w:hAnsi="Calibri" w:cs="Calibri"/>
      <w:color w:val="ED7D31" w:themeColor="accent2"/>
      <w:sz w:val="22"/>
      <w:szCs w:val="2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rFonts w:ascii="Calibri" w:hAnsi="Calibri" w:cs="Calibri"/>
      <w:sz w:val="22"/>
      <w:szCs w:val="22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rFonts w:ascii="Calibri" w:hAnsi="Calibri" w:cs="Calibri"/>
      <w:color w:val="404040" w:themeColor="text1" w:themeTint="BF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  <w:rPr>
      <w:rFonts w:ascii="Calibri" w:hAnsi="Calibri" w:cs="Calibr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ascii="Calibri" w:hAnsi="Calibri" w:cs="Calibri"/>
      <w:color w:val="404040" w:themeColor="text1" w:themeTint="BF"/>
      <w:sz w:val="22"/>
      <w:szCs w:val="22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PARRAFO"/>
    <w:link w:val="Ttulo1Car0"/>
    <w:qFormat/>
    <w:rsid w:val="00CA6CD6"/>
    <w:pPr>
      <w:spacing w:before="120" w:after="120" w:line="240" w:lineRule="auto"/>
      <w:jc w:val="both"/>
    </w:pPr>
    <w:rPr>
      <w:rFonts w:ascii="Calibri" w:hAnsi="Calibri" w:cs="Calibri"/>
      <w:b/>
      <w:bCs/>
      <w:color w:val="404040" w:themeColor="text1" w:themeTint="BF"/>
      <w:sz w:val="24"/>
      <w:szCs w:val="24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rFonts w:ascii="Calibri" w:hAnsi="Calibri" w:cs="Calibri"/>
      <w:color w:val="595959" w:themeColor="text1" w:themeTint="A6"/>
      <w:sz w:val="24"/>
      <w:szCs w:val="24"/>
    </w:rPr>
  </w:style>
  <w:style w:type="character" w:customStyle="1" w:styleId="Ttulo1Car0">
    <w:name w:val="Título1 Car"/>
    <w:basedOn w:val="Fuentedeprrafopredeter"/>
    <w:link w:val="Ttulo1"/>
    <w:rsid w:val="00CA6CD6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spacing w:before="120"/>
    </w:pPr>
    <w:rPr>
      <w:rFonts w:ascii="Calibri" w:hAnsi="Calibri"/>
      <w:b/>
      <w:color w:val="000000" w:themeColor="text1"/>
      <w:lang w:eastAsia="es-CL"/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ubtitulo1">
    <w:name w:val="Subtitulo1"/>
    <w:basedOn w:val="Prrafodelista"/>
    <w:link w:val="Subtitulo1Car"/>
    <w:qFormat/>
    <w:rsid w:val="00C60A70"/>
    <w:pPr>
      <w:keepNext/>
      <w:tabs>
        <w:tab w:val="left" w:pos="709"/>
      </w:tabs>
      <w:spacing w:after="0"/>
      <w:jc w:val="both"/>
    </w:pPr>
    <w:rPr>
      <w:rFonts w:ascii="Calibri" w:hAnsi="Calibri" w:cs="Calibri"/>
      <w:color w:val="595959" w:themeColor="text1" w:themeTint="A6"/>
      <w:sz w:val="24"/>
      <w:szCs w:val="24"/>
    </w:rPr>
  </w:style>
  <w:style w:type="paragraph" w:customStyle="1" w:styleId="Subtitulo2">
    <w:name w:val="Subtitulo2"/>
    <w:basedOn w:val="Subtitulo1"/>
    <w:link w:val="Subtitulo2Car"/>
    <w:qFormat/>
    <w:rsid w:val="00FE3167"/>
    <w:pPr>
      <w:keepNext/>
    </w:pPr>
    <w:rPr>
      <w:rFonts w:ascii="Calibri" w:hAnsi="Calibri" w:cs="Calibri"/>
      <w:sz w:val="24"/>
      <w:szCs w:val="24"/>
    </w:rPr>
  </w:style>
  <w:style w:type="character" w:customStyle="1" w:styleId="Subtitulo1Car">
    <w:name w:val="Subtitulo1 Car"/>
    <w:basedOn w:val="PrrafodelistaCar"/>
    <w:link w:val="Subtitulo1"/>
    <w:rsid w:val="00C60A70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Subtitulo2Car">
    <w:name w:val="Subtitulo2 Car"/>
    <w:basedOn w:val="Subtitulo1Car"/>
    <w:link w:val="Subtitulo2"/>
    <w:rsid w:val="00FE3167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Ttulo1Car">
    <w:name w:val="Título 1 Car"/>
    <w:basedOn w:val="Fuentedeprrafopredeter"/>
    <w:link w:val="Ttulo10"/>
    <w:uiPriority w:val="9"/>
    <w:rsid w:val="003B6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3B6BB3"/>
    <w:pPr>
      <w:spacing w:after="100"/>
      <w:ind w:left="440"/>
    </w:pPr>
    <w:rPr>
      <w:rFonts w:ascii="Calibri" w:hAnsi="Calibri" w:cs="Calibri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B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TDC">
    <w:name w:val="TOC Heading"/>
    <w:basedOn w:val="Ttulo10"/>
    <w:next w:val="Normal"/>
    <w:uiPriority w:val="39"/>
    <w:unhideWhenUsed/>
    <w:qFormat/>
    <w:rsid w:val="00CA6CD6"/>
    <w:pPr>
      <w:spacing w:line="259" w:lineRule="auto"/>
      <w:outlineLvl w:val="9"/>
    </w:pPr>
    <w:rPr>
      <w:lang w:eastAsia="es-CL"/>
    </w:rPr>
  </w:style>
  <w:style w:type="paragraph" w:styleId="ROTULOTABLA">
    <w:name w:val="RotuloTabla"/>
    <w:basedOn w:val="PARRAFO"/>
    <w:next w:val="PARRAFO"/>
    <w:uiPriority w:val="99"/>
    <w:qFormat/>
    <w:pPr>
      <w:keepNext/>
      <w:spacing w:before="240" w:after="60"/>
      <w:jc w:val="left"/>
    </w:pPr>
    <w:rPr>
      <w:rFonts w:ascii="Calibri" w:hAnsi="Calibri" w:cs="Calibri"/>
      <w:sz w:val="22"/>
      <w:szCs w:val="22"/>
    </w:rPr>
  </w:style>
  <w:style w:type="paragraph" w:styleId="ROTULOFIGURA">
    <w:name w:val="RotuloFigura"/>
    <w:basedOn w:val="PARRAFO"/>
    <w:next w:val="PARRAFO"/>
    <w:uiPriority w:val="99"/>
    <w:qFormat/>
    <w:pPr>
      <w:keepNext/>
      <w:spacing w:before="240" w:after="60"/>
      <w:jc w:val="left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igital.inacap.cl/documentos/biblioteca/Norma_APA_7ma_ed_v2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://site.ebrary.com/lib/inacapsp/reader.action?docID=11046190&amp;ppg=3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Relationship Id="rIdLink1" Type="http://schemas.openxmlformats.org/officeDocument/2006/relationships/hyperlink" Target="https://www.bcn.cl/leychile/navegar?i=1209272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cd630353014c0794e9af5d3940c4355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1ade2dada4b80f15c88fdaed65ae374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eventhEdition.xsl" StyleName="APA" Version="6">
  <b:Source>
    <b:Tag>ley21719</b:Tag>
    <b:SourceType>Misc</b:SourceType>
    <b:Guid>{5186EC9D-FA6F-58FC-A08B-147FCC6C9269}</b:Guid>
    <b:Author>
      <b:Author>
        <b:Corporate>Biblioteca del Congreso Nacional de Chile</b:Corporate>
      </b:Author>
    </b:Author>
    <b:Title>Ley 21.719: Regula la protección y el tratamiento de los datos personales y crea la Agencia de Protección de Datos Personales</b:Title>
    <b:Year>2024</b:Year>
    <b:URL>https://www.bcn.cl/leychile/navegar?i=1209272</b:URL>
    <b:YearAccessed>2026</b:YearAccessed>
    <b:MonthAccessed>Septiembre</b:MonthAccessed>
    <b:DayAccessed>20</b:DayAccessed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83532b45-93b1-487b-8f20-74f965879f7b"/>
    <ds:schemaRef ds:uri="dc7d85ec-6b5b-4d07-9be9-6f4658e2a860"/>
  </ds:schemaRefs>
</ds:datastoreItem>
</file>

<file path=customXml/itemProps2.xml><?xml version="1.0" encoding="utf-8"?>
<ds:datastoreItem xmlns:ds="http://schemas.openxmlformats.org/officeDocument/2006/customXml" ds:itemID="{84BA4DAE-1B99-4386-80EA-BEABB952E135}"/>
</file>

<file path=customXml/itemProps3.xml><?xml version="1.0" encoding="utf-8"?>
<ds:datastoreItem xmlns:ds="http://schemas.openxmlformats.org/officeDocument/2006/customXml" ds:itemID="{CA9F31EA-547E-49B0-A046-11B77B9EC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898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Jescica Puschel Oyaneder</dc:creator>
  <cp:lastModifiedBy>Claudia Pavez Galleguillos</cp:lastModifiedBy>
  <cp:revision>53</cp:revision>
  <dcterms:created xsi:type="dcterms:W3CDTF">2023-01-03T15:10:00Z</dcterms:created>
  <dcterms:modified xsi:type="dcterms:W3CDTF">2024-06-14T15:50:00Z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