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Keaton Slater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5509523807                              $-3,829.00</w:t>
        <w:br/>
        <w:t>3398643359                              $29,403.00</w:t>
        <w:br/>
        <w:t>8483004527                              $10,410.00</w:t>
        <w:br/>
        <w:t>8800469873                              $31,719.00</w:t>
        <w:br/>
        <w:t>5490762327                              $27,683.00</w:t>
        <w:br/>
        <w:t>8531771162                              $-3,644.00</w:t>
        <w:br/>
        <w:t>7334213711                              $9,748.00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