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j5oy2137ma4l" w:id="0"/>
      <w:bookmarkEnd w:id="0"/>
      <w:r w:rsidDel="00000000" w:rsidR="00000000" w:rsidRPr="00000000">
        <w:rPr>
          <w:rtl w:val="0"/>
        </w:rPr>
        <w:t xml:space="preserve">Lab: Semaphores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This is a paper and pencil lab.  We will solve semaphore programming puzzles.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‘The Little Book of Semaphores’: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http://greenteapress.com/semaphores/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It’s also available on this week’s section of our iLearn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at section 3.7, where we left off in class.  Simply read the text and solve puzzles as they are presented by the author.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enteapress.com/semaph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