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334: Operating Systems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Dr. Glenn Bruns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00" w:lineRule="auto"/>
        <w:jc w:val="center"/>
        <w:rPr>
          <w:b w:val="1"/>
        </w:rPr>
      </w:pPr>
      <w:bookmarkStart w:colFirst="0" w:colLast="0" w:name="_n30phxqnb3d6" w:id="0"/>
      <w:bookmarkEnd w:id="0"/>
      <w:r w:rsidDel="00000000" w:rsidR="00000000" w:rsidRPr="00000000">
        <w:rPr>
          <w:rtl w:val="0"/>
        </w:rPr>
        <w:t xml:space="preserve">Lab: Synchronization barriers with locks and condition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tl w:val="0"/>
        </w:rPr>
        <w:t xml:space="preserve">A “synchronization barrier” is a synchronization concept in which no thread in a group can proceed until all threads in the group are ready to proceed. 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tl w:val="0"/>
        </w:rPr>
        <w:t xml:space="preserve">In class we learned how to implement a synchronization barrier with semaphores.  Here is the solution from “The Little Book of Semaphores”: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62300" cy="2238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tl w:val="0"/>
        </w:rPr>
        <w:t xml:space="preserve">In this lab we will implement a synchronization barrier with locks and condition variables.  We will follow the “Anderson/Dahlin” method for writing shared objects.  The file needed for the lab can be found on the hosting machine at: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/home/CLASSES/brunsglenn/cst334/labs/sync-barrier/barrier-skeleton.c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tl w:val="0"/>
        </w:rPr>
        <w:t xml:space="preserve">Copy this file to a file named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barrier.c</w:t>
      </w:r>
      <w:r w:rsidDel="00000000" w:rsidR="00000000" w:rsidRPr="00000000">
        <w:rPr>
          <w:rtl w:val="0"/>
        </w:rPr>
        <w:t xml:space="preserve"> in a directory of your own, and make sure you can compile it: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$ gcc -pthread -lm -o barrier barrier.c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tl w:val="0"/>
        </w:rPr>
        <w:t xml:space="preserve">Unlike our last lab, not much code is supplied for you to start with.  However, it’s not hard to implement a simple barrier.  You may want to begin by creating a Makefile.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barrier code, and think about whether the existing printf statements are enough to convince you the code is right.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you use signal() or broadcast() in your solution?  If you used signal(), create another version but this time using broadcast().  If you used broadcast(), create a version using signal().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still have time, time running performance tests on your two solutions.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still have time, try making your synchronization barrier reusable.  This means that after the barrier is used, it is ready to be used again.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approach to solving this problem is to try to translate the semaphore-based version above into a version using locks and condition variables.  Is there a general method for translating code that uses semaphores into code that uses locks and condition variables?  If you can think of a method, try to write a version of the synchronization barrier that is a translation of the semaphore-based code.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0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Cheat sheet:</w:t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(this can also be found on our iLearn page)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  <w:t xml:space="preserve">To declare a lock: </w:t>
        <w:tab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pthread_mutex_t lock;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60" w:lineRule="auto"/>
        <w:rPr/>
      </w:pPr>
      <w:r w:rsidDel="00000000" w:rsidR="00000000" w:rsidRPr="00000000">
        <w:rPr>
          <w:rtl w:val="0"/>
        </w:rPr>
        <w:t xml:space="preserve">To initialize a lock: </w:t>
        <w:tab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pthread_mutex_init(&amp;lock, NULL);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60" w:lineRule="auto"/>
        <w:rPr/>
      </w:pPr>
      <w:r w:rsidDel="00000000" w:rsidR="00000000" w:rsidRPr="00000000">
        <w:rPr>
          <w:rtl w:val="0"/>
        </w:rPr>
        <w:t xml:space="preserve">To acquire a lock:   </w:t>
        <w:tab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pthread_mutex_lock(&amp;lock);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  <w:t xml:space="preserve">To release a lock:  </w:t>
        <w:tab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pthread_mutex_unlock(&amp;lock);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60" w:lineRule="auto"/>
        <w:rPr/>
      </w:pPr>
      <w:r w:rsidDel="00000000" w:rsidR="00000000" w:rsidRPr="00000000">
        <w:rPr>
          <w:rtl w:val="0"/>
        </w:rPr>
        <w:t xml:space="preserve">To declare a condition variable:  </w:t>
        <w:tab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pthread_cond_t cv;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60" w:lineRule="auto"/>
        <w:rPr/>
      </w:pPr>
      <w:r w:rsidDel="00000000" w:rsidR="00000000" w:rsidRPr="00000000">
        <w:rPr>
          <w:rtl w:val="0"/>
        </w:rPr>
        <w:t xml:space="preserve">To initialize a condition variable:  </w:t>
        <w:tab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pthread_cond_init(&amp;cv, NULL);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60" w:lineRule="auto"/>
        <w:rPr/>
      </w:pPr>
      <w:r w:rsidDel="00000000" w:rsidR="00000000" w:rsidRPr="00000000">
        <w:rPr>
          <w:rtl w:val="0"/>
        </w:rPr>
        <w:t xml:space="preserve">To wait on a condition variable:  </w:t>
        <w:tab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pthread_cond_wait(&amp;cv, &amp;lock);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60" w:lineRule="auto"/>
        <w:rPr/>
      </w:pPr>
      <w:r w:rsidDel="00000000" w:rsidR="00000000" w:rsidRPr="00000000">
        <w:rPr>
          <w:rtl w:val="0"/>
        </w:rPr>
        <w:t xml:space="preserve">To signal a condition variable:    </w:t>
        <w:tab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pthread_cond_signal(&amp;cv);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  <w:t xml:space="preserve">To broadcast to a condition variable: </w:t>
        <w:tab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pthread_cond_broadcast(&amp;cv);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