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ffwvbfunhmth" w:id="0"/>
      <w:bookmarkEnd w:id="0"/>
      <w:r w:rsidDel="00000000" w:rsidR="00000000" w:rsidRPr="00000000">
        <w:rPr>
          <w:rtl w:val="0"/>
        </w:rPr>
        <w:t xml:space="preserve">Lab: I/O devices and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“device driver” and a “controller”?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drawback of using the same interface between the OS and all kinds of hard drives?  (Think about it.)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The OS read/write the registers on a device interface by using a) I/O instructions, or b) memory-mapped I/O.  Which approach used with the x86 CPU?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When I/O instructions are used, are these instructions privileged or not?  Why?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Windows 10 (or 7, or 8) code is from device drivers?  (Use google)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IDE, SATA, and SCSI?  (Use google)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Linux, what is a ‘bio’ structure?  (Use google)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DRQ stand for in the IDE device driver status register?  (Use google)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study the xv6 code in Fig. 36.5 of the OSTEP text carefully (chap 36).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read the paper “what every programmer should know about memory”, listed in the references section of chapter 36 of OSTEP.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https://lwn.net/Articles/250967/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wn.net/Articles/2509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