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9AADD" w14:textId="04626B5F" w:rsidR="00A35A5D" w:rsidRDefault="003B0AB5">
      <w:pPr>
        <w:rPr>
          <w:b/>
          <w:bCs/>
        </w:rPr>
      </w:pPr>
      <w:r>
        <w:rPr>
          <w:b/>
          <w:bCs/>
        </w:rPr>
        <w:t>Introduction</w:t>
      </w:r>
    </w:p>
    <w:p w14:paraId="371393A8" w14:textId="4C12CDA0" w:rsidR="003B0AB5" w:rsidRPr="003B0AB5" w:rsidRDefault="003B0AB5" w:rsidP="003B0AB5">
      <w:r w:rsidRPr="003B0AB5">
        <w:t>Corneal opacification is the 5th leading cause of bilateral blindness worldwide, with the majority of cases due to infectio</w:t>
      </w:r>
      <w:r w:rsidR="00774648">
        <w:t>n</w:t>
      </w:r>
      <w:r w:rsidRPr="003B0AB5">
        <w:t>.</w:t>
      </w:r>
      <w:r w:rsidR="00540BFB">
        <w:fldChar w:fldCharType="begin" w:fldLock="1"/>
      </w:r>
      <w:r w:rsidR="00540BFB">
        <w:instrText>ADDIN CSL_CITATION {"citationItems":[{"id":"ITEM-1","itemData":{"DOI":"10.1016/S2214-109X(17)30393-5","ISSN":"2214109X","PMID":"29032195","abstract":"Background Contemporary data for causes of vision impairment and blindness form an important basis of recommendations in public health policies. Refreshment of the Global Vision Database with recently published data sources permitted modelling of cause of vision loss data from 1990 to 2015, further disaggregation by cause, and forecasts to 2020. Methods In this systematic review and meta-analysis, we analysed published and unpublished population-based data for the causes of vision impairment and blindness from 1980 to 2014. We identified population-based studies published before July 8, 2014, by searching online databases with no language restrictions (MEDLINE from Jan 1, 1946, and Embase from Jan 1, 1974, and the WHO Library Database). We fitted a series of regression models to estimate the proportion of moderate or severe vision impairment (defined as presenting visual acuity of &lt;6/18 but ≥3/60 in the better eye) and blindness (presenting visual acuity of &lt;3/60 in the better eye) by cause, age, region, and year. Findings We identified 288 studies of 3 983 541 participants contributing data from 98 countries. Among the global population with moderate or severe vision impairment in 2015 (216·6 million [80% uncertainty interval 98·5 million to 359·1 million]), the leading causes were uncorrected refractive error (116·3 million [49·4 million to 202·1 million]), cataract (52·6 million [18·2 million to 109·6 million]), age-related macular degeneration (8·4 million [0·9 million to 29·5 million]), glaucoma (4·0 million [0·6 million to 13·3 million]), and diabetic retinopathy (2·6 million [0·2 million to 9·9 million]). Among the global population who were blind in 2015 (36·0 million [12·9 million to 65·4 million]), the leading causes were cataract (12·6 million [3·4 million to 28·7 million]), uncorrected refractive error (7·4 million [2·4 million to 14·8 million]), and glaucoma (2·9 million [0·4 million to 9·9 million]). By 2020, among the global population with moderate or severe vision impairment (237·1 million [101·5 million to 399·0 million]), the number of people affected by uncorrected refractive error is anticipated to rise to 127·7 million (51·0 million to 225·3 million), by cataract to 57·1 million (17·9 million to 124·1 million), by age-related macular degeneration to 8·8 million (0·8 million to 32·1 million), by glaucoma to 4·5 million (0·5 million to 15·4 million), and by diabetic retinopathy to 3·2 million (0·2 million to 12·9 million). By 2020, a…","author":[{"dropping-particle":"","family":"Flaxman","given":"Seth R.","non-dropping-particle":"","parse-names":false,"suffix":""},{"dropping-particle":"","family":"Bourne","given":"Rupert R.A.","non-dropping-particle":"","parse-names":false,"suffix":""},{"dropping-particle":"","family":"Resnikoff","given":"Serge","non-dropping-particle":"","parse-names":false,"suffix":""},{"dropping-particle":"","family":"Ackland","given":"Peter","non-dropping-particle":"","parse-names":false,"suffix":""},{"dropping-particle":"","family":"Braithwaite","given":"Tasanee","non-dropping-particle":"","parse-names":false,"suffix":""},{"dropping-particle":"V.","family":"Cicinelli","given":"Maria","non-dropping-particle":"","parse-names":false,"suffix":""},{"dropping-particle":"","family":"Das","given":"Aditi","non-dropping-particle":"","parse-names":false,"suffix":""},{"dropping-particle":"","family":"Jonas","given":"Jost B.","non-dropping-particle":"","parse-names":false,"suffix":""},{"dropping-particle":"","family":"Keeffe","given":"Jill","non-dropping-particle":"","parse-names":false,"suffix":""},{"dropping-particle":"","family":"Kempen","given":"John","non-dropping-particle":"","parse-names":false,"suffix":""},{"dropping-particle":"","family":"Leasher","given":"Janet","non-dropping-particle":"","parse-names":false,"suffix":""},{"dropping-particle":"","family":"Limburg","given":"Hans","non-dropping-particle":"","parse-names":false,"suffix":""},{"dropping-particle":"","family":"Naidoo","given":"Kovin","non-dropping-particle":"","parse-names":false,"suffix":""},{"dropping-particle":"","family":"Pesudovs","given":"Konrad","non-dropping-particle":"","parse-names":false,"suffix":""},{"dropping-particle":"","family":"Silvester","given":"Alex","non-dropping-particle":"","parse-names":false,"suffix":""},{"dropping-particle":"","family":"Stevens","given":"Gretchen A.","non-dropping-particle":"","parse-names":false,"suffix":""},{"dropping-particle":"","family":"Tahhan","given":"Nina","non-dropping-particle":"","parse-names":false,"suffix":""},{"dropping-particle":"","family":"Wong","given":"Tien","non-dropping-particle":"","parse-names":false,"suffix":""},{"dropping-particle":"","family":"Taylor","given":"Hugh","non-dropping-particle":"","parse-names":false,"suffix":""},{"dropping-particle":"","family":"Arditi","given":"Aries","non-dropping-particle":"","parse-names":false,"suffix":""},{"dropping-particle":"","family":"Barkana","given":"Yaniv","non-dropping-particle":"","parse-names":false,"suffix":""},{"dropping-particle":"","family":"Bozkurt","given":"Banu","non-dropping-particle":"","parse-names":false,"suffix":""},{"dropping-particle":"","family":"Bron","given":"Alain","non-dropping-particle":"","parse-names":false,"suffix":""},{"dropping-particle":"","family":"Budenz","given":"Donald","non-dropping-particle":"","parse-names":false,"suffix":""},{"dropping-particle":"","family":"Cai","given":"Feng","non-dropping-particle":"","parse-names":false,"suffix":""},{"dropping-particle":"","family":"Casson","given":"Robert","non-dropping-particle":"","parse-names":false,"suffix":""},{"dropping-particle":"","family":"Chakravarthy","given":"Usha","non-dropping-particle":"","parse-names":false,"suffix":""},{"dropping-particle":"","family":"Choi","given":"Jaewan","non-dropping-particle":"","parse-names":false,"suffix":""},{"dropping-particle":"","family":"Congdon","given":"Nathan","non-dropping-particle":"","parse-names":false,"suffix":""},{"dropping-particle":"","family":"Dana","given":"Reza","non-dropping-particle":"","parse-names":false,"suffix":""},{"dropping-particle":"","family":"Dandona","given":"Rakhi","non-dropping-particle":"","parse-names":false,"suffix":""},{"dropping-particle":"","family":"Dandona","given":"Lalit","non-dropping-particle":"","parse-names":false,"suffix":""},{"dropping-particle":"","family":"Dekaris","given":"Iva","non-dropping-particle":"","parse-names":false,"suffix":""},{"dropping-particle":"","family":"Monte","given":"Monte","non-dropping-particle":"Del","parse-names":false,"suffix":""},{"dropping-particle":"","family":"Deva","given":"Jenny","non-dropping-particle":"","parse-names":false,"suffix":""},{"dropping-particle":"","family":"Dreer","given":"Laura","non-dropping-particle":"","parse-names":false,"suffix":""},{"dropping-particle":"","family":"Ellwein","given":"Leon","non-dropping-particle":"","parse-names":false,"suffix":""},{"dropping-particle":"","family":"Frazier","given":"Marcela","non-dropping-particle":"","parse-names":false,"suffix":""},{"dropping-particle":"","family":"Frick","given":"Kevin","non-dropping-particle":"","parse-names":false,"suffix":""},{"dropping-particle":"","family":"Friedman","given":"David","non-dropping-particle":"","parse-names":false,"suffix":""},{"dropping-particle":"","family":"Furtado","given":"Joao","non-dropping-particle":"","parse-names":false,"suffix":""},{"dropping-particle":"","family":"Gao","given":"Hua","non-dropping-particle":"","parse-names":false,"suffix":""},{"dropping-particle":"","family":"Gazzard","given":"Gus","non-dropping-particle":"","parse-names":false,"suffix":""},{"dropping-particle":"","family":"George","given":"Ronnie","non-dropping-particle":"","parse-names":false,"suffix":""},{"dropping-particle":"","family":"Gichuhi","given":"Stephen","non-dropping-particle":"","parse-names":false,"suffix":""},{"dropping-particle":"","family":"Gonzalez","given":"Victor","non-dropping-particle":"","parse-names":false,"suffix":""},{"dropping-particle":"","family":"Hammond","given":"Billy","non-dropping-particle":"","parse-names":false,"suffix":""},{"dropping-particle":"","family":"Hartnett","given":"Mary Elizabeth","non-dropping-particle":"","parse-names":false,"suffix":""},{"dropping-particle":"","family":"He","given":"Minguang","non-dropping-particle":"","parse-names":false,"suffix":""},{"dropping-particle":"","family":"Hejtmancik","given":"James","non-dropping-particle":"","parse-names":false,"suffix":""},{"dropping-particle":"","family":"Hirai","given":"Flavio","non-dropping-particle":"","parse-names":false,"suffix":""},{"dropping-particle":"","family":"Huang","given":"John","non-dropping-particle":"","parse-names":false,"suffix":""},{"dropping-particle":"","family":"Ingram","given":"April","non-dropping-particle":"","parse-names":false,"suffix":""},{"dropping-particle":"","family":"Javitt","given":"Jonathan","non-dropping-particle":"","parse-names":false,"suffix":""},{"dropping-particle":"","family":"Joslin","given":"Charlotte","non-dropping-particle":"","parse-names":false,"suffix":""},{"dropping-particle":"","family":"Khairallah","given":"Moncef","non-dropping-particle":"","parse-names":false,"suffix":""},{"dropping-particle":"","family":"Khanna","given":"Rohit","non-dropping-particle":"","parse-names":false,"suffix":""},{"dropping-particle":"","family":"Kim","given":"Judy","non-dropping-particle":"","parse-names":false,"suffix":""},{"dropping-particle":"","family":"Lambrou","given":"George","non-dropping-particle":"","parse-names":false,"suffix":""},{"dropping-particle":"","family":"Lansingh","given":"Van Charles","non-dropping-particle":"","parse-names":false,"suffix":""},{"dropping-particle":"","family":"Lanzetta","given":"Paolo","non-dropping-particle":"","parse-names":false,"suffix":""},{"dropping-particle":"","family":"Lim","given":"Jennifer","non-dropping-particle":"","parse-names":false,"suffix":""},{"dropping-particle":"","family":"Mansouri","given":"Kaweh","non-dropping-particle":"","parse-names":false,"suffix":""},{"dropping-particle":"","family":"Mathew","given":"Anu","non-dropping-particle":"","parse-names":false,"suffix":""},{"dropping-particle":"","family":"Morse","given":"Alan","non-dropping-particle":"","parse-names":false,"suffix":""},{"dropping-particle":"","family":"Munoz","given":"Beatriz","non-dropping-particle":"","parse-names":false,"suffix":""},{"dropping-particle":"","family":"Musch","given":"David","non-dropping-particle":"","parse-names":false,"suffix":""},{"dropping-particle":"","family":"Nangia","given":"Vinay","non-dropping-particle":"","parse-names":false,"suffix":""},{"dropping-particle":"","family":"Palaiou","given":"Maria","non-dropping-particle":"","parse-names":false,"suffix":""},{"dropping-particle":"","family":"Parodi","given":"Maurizio Battaglia","non-dropping-particle":"","parse-names":false,"suffix":""},{"dropping-particle":"","family":"Pena","given":"Fernando Yaacov","non-dropping-particle":"","parse-names":false,"suffix":""},{"dropping-particle":"","family":"Peto","given":"Tunde","non-dropping-particle":"","parse-names":false,"suffix":""},{"dropping-particle":"","family":"Quigley","given":"Harry","non-dropping-particle":"","parse-names":false,"suffix":""},{"dropping-particle":"","family":"Raju","given":"Murugesan","non-dropping-particle":"","parse-names":false,"suffix":""},{"dropping-particle":"","family":"Ramulu","given":"Pradeep","non-dropping-particle":"","parse-names":false,"suffix":""},{"dropping-particle":"","family":"Reza","given":"Dana","non-dropping-particle":"","parse-names":false,"suffix":""},{"dropping-particle":"","family":"Robin","given":"Alan","non-dropping-particle":"","parse-names":false,"suffix":""},{"dropping-particle":"","family":"Rossetti","given":"Luca","non-dropping-particle":"","parse-names":false,"suffix":""},{"dropping-particle":"","family":"Saaddine","given":"Jinan","non-dropping-particle":"","parse-names":false,"suffix":""},{"dropping-particle":"","family":"Sandar","given":"Mya","non-dropping-particle":"","parse-names":false,"suffix":""},{"dropping-particle":"","family":"Serle","given":"Janet","non-dropping-particle":"","parse-names":false,"suffix":""},{"dropping-particle":"","family":"Shen","given":"Tueng","non-dropping-particle":"","parse-names":false,"suffix":""},{"dropping-particle":"","family":"Shetty","given":"Rajesh","non-dropping-particle":"","parse-names":false,"suffix":""},{"dropping-particle":"","family":"Sieving","given":"Pamela","non-dropping-particle":"","parse-names":false,"suffix":""},{"dropping-particle":"","family":"Silva","given":"Juan Carlos","non-dropping-particle":"","parse-names":false,"suffix":""},{"dropping-particle":"","family":"Sitorus","given":"Rita S.","non-dropping-particle":"","parse-names":false,"suffix":""},{"dropping-particle":"","family":"Stambolian","given":"Dwight","non-dropping-particle":"","parse-names":false,"suffix":""},{"dropping-particle":"","family":"Tejedor","given":"Jaime","non-dropping-particle":"","parse-names":false,"suffix":""},{"dropping-particle":"","family":"Tielsch","given":"James","non-dropping-particle":"","parse-names":false,"suffix":""},{"dropping-particle":"","family":"Tsilimbaris","given":"Miltiadis","non-dropping-particle":"","parse-names":false,"suffix":""},{"dropping-particle":"","family":"Meurs","given":"Jan","non-dropping-particle":"van","parse-names":false,"suffix":""},{"dropping-particle":"","family":"Varma","given":"Rohit","non-dropping-particle":"","parse-names":false,"suffix":""},{"dropping-particle":"","family":"Virgili","given":"Gianni","non-dropping-particle":"","parse-names":false,"suffix":""},{"dropping-particle":"","family":"Wang","given":"Ya Xing","non-dropping-particle":"","parse-names":false,"suffix":""},{"dropping-particle":"","family":"Wang","given":"Ning Li","non-dropping-particle":"","parse-names":false,"suffix":""},{"dropping-particle":"","family":"West","given":"Sheila","non-dropping-particle":"","parse-names":false,"suffix":""},{"dropping-particle":"","family":"Wiedemann","given":"Peter","non-dropping-particle":"","parse-names":false,"suffix":""},{"dropping-particle":"","family":"Wormald","given":"Richard","non-dropping-particle":"","parse-names":false,"suffix":""},{"dropping-particle":"","family":"Zheng","given":"Yingfeng","non-dropping-particle":"","parse-names":false,"suffix":""}],"container-title":"The Lancet Global Health","id":"ITEM-1","issue":"12","issued":{"date-parts":[["2017","12","1"]]},"page":"e1221-e1234","publisher":"Elsevier Ltd","title":"Global causes of blindness and distance vision impairment 1990–2020: a systematic review and meta-analysis","type":"article-journal","volume":"5"},"uris":["http://www.mendeley.com/documents/?uuid=b2be8c89-6213-3d74-859b-c045b8656025"]},{"id":"ITEM-2","itemData":{"author":[{"dropping-particle":"","family":"Whitcher","given":"John P","non-dropping-particle":"","parse-names":false,"suffix":""},{"dropping-particle":"","family":"Srinivasan","given":"M","non-dropping-particle":"","parse-names":false,"suffix":""},{"dropping-particle":"","family":"Upadhyay","given":"Madan P","non-dropping-particle":"","parse-names":false,"suffix":""}],"container-title":"Bull World Health Organ","id":"ITEM-2","issued":{"date-parts":[["2001"]]},"page":"214-221","title":"Corneal blindness : a global perspective","type":"article-journal","volume":"79"},"uris":["http://www.mendeley.com/documents/?uuid=98c3de6a-483d-4cd6-bfb3-45285bf6a94a"]},{"id":"ITEM-3","itemData":{"DOI":"10.1136/bjophthalmol-2011-300539","ISSN":"00071161","PMID":"22133988","abstract":"Aim: From the most recent data the magnitude of visual impairment and its causes in 2010 have been estimated, globally and by WHO region. The definitions of visual impairment are the current definitions of presenting vision in the International Classification of Diseases version 10. Methods: A systematic review was conducted of published and unpublished surveys from 2000 to the present. For countries without data on visual impairment, estimates were based on newly developed imputation methods that took into account country economic status as proxy. Results: Surveys from 39 countries satisfied the inclusion criteria for this study. Globally, the number of people of all ages visually impaired is estimated to be 285 million, of whom 39 million are blind, with uncertainties of 10-20%. People 50 years and older represent 65% and 82% of visually impaired and blind, respectively. The major causes of visual impairment are uncorrected refractive errors (43%) followed by cataract (33%); the first cause of blindness is cataract (51%). Conclusion: This study indicates that visual impairment in 2010 is a major health issue that is unequally distributed among the WHO regions; the preventable causes are as high as 80% of the total global burden.","author":[{"dropping-particle":"","family":"Pascolini","given":"Donatella","non-dropping-particle":"","parse-names":false,"suffix":""},{"dropping-particle":"","family":"Mariotti","given":"Silvio Paolo","non-dropping-particle":"","parse-names":false,"suffix":""}],"container-title":"British Journal of Ophthalmology","id":"ITEM-3","issue":"5","issued":{"date-parts":[["2012","5"]]},"page":"614-618","title":"Global estimates of visual impairment: 2010","type":"article-journal","volume":"96"},"uris":["http://www.mendeley.com/documents/?uuid=838ff253-1c4d-3e44-bf6f-a2b6166f5ed2"]}],"mendeley":{"formattedCitation":"&lt;sup&gt;1–3&lt;/sup&gt;","plainTextFormattedCitation":"1–3","previouslyFormattedCitation":"&lt;sup&gt;1–3&lt;/sup&gt;"},"properties":{"noteIndex":0},"schema":"https://github.com/citation-style-language/schema/raw/master/csl-citation.json"}</w:instrText>
      </w:r>
      <w:r w:rsidR="00540BFB">
        <w:fldChar w:fldCharType="separate"/>
      </w:r>
      <w:r w:rsidR="00540BFB" w:rsidRPr="00540BFB">
        <w:rPr>
          <w:noProof/>
          <w:vertAlign w:val="superscript"/>
        </w:rPr>
        <w:t>1–3</w:t>
      </w:r>
      <w:r w:rsidR="00540BFB">
        <w:fldChar w:fldCharType="end"/>
      </w:r>
      <w:r w:rsidRPr="003B0AB5">
        <w:t xml:space="preserve"> The burden of infectious keratitis (or “corneal ulceration”) is highest in the developing world where resources to address it are most scarce.</w:t>
      </w:r>
      <w:r w:rsidR="00540BFB">
        <w:fldChar w:fldCharType="begin" w:fldLock="1"/>
      </w:r>
      <w:r w:rsidR="00540BFB">
        <w:instrText>ADDIN CSL_CITATION {"citationItems":[{"id":"ITEM-1","itemData":{"DOI":"10.1016/S2214-109X(17)30393-5","ISSN":"2214109X","PMID":"29032195","abstract":"Background Contemporary data for causes of vision impairment and blindness form an important basis of recommendations in public health policies. Refreshment of the Global Vision Database with recently published data sources permitted modelling of cause of vision loss data from 1990 to 2015, further disaggregation by cause, and forecasts to 2020. Methods In this systematic review and meta-analysis, we analysed published and unpublished population-based data for the causes of vision impairment and blindness from 1980 to 2014. We identified population-based studies published before July 8, 2014, by searching online databases with no language restrictions (MEDLINE from Jan 1, 1946, and Embase from Jan 1, 1974, and the WHO Library Database). We fitted a series of regression models to estimate the proportion of moderate or severe vision impairment (defined as presenting visual acuity of &lt;6/18 but ≥3/60 in the better eye) and blindness (presenting visual acuity of &lt;3/60 in the better eye) by cause, age, region, and year. Findings We identified 288 studies of 3 983 541 participants contributing data from 98 countries. Among the global population with moderate or severe vision impairment in 2015 (216·6 million [80% uncertainty interval 98·5 million to 359·1 million]), the leading causes were uncorrected refractive error (116·3 million [49·4 million to 202·1 million]), cataract (52·6 million [18·2 million to 109·6 million]), age-related macular degeneration (8·4 million [0·9 million to 29·5 million]), glaucoma (4·0 million [0·6 million to 13·3 million]), and diabetic retinopathy (2·6 million [0·2 million to 9·9 million]). Among the global population who were blind in 2015 (36·0 million [12·9 million to 65·4 million]), the leading causes were cataract (12·6 million [3·4 million to 28·7 million]), uncorrected refractive error (7·4 million [2·4 million to 14·8 million]), and glaucoma (2·9 million [0·4 million to 9·9 million]). By 2020, among the global population with moderate or severe vision impairment (237·1 million [101·5 million to 399·0 million]), the number of people affected by uncorrected refractive error is anticipated to rise to 127·7 million (51·0 million to 225·3 million), by cataract to 57·1 million (17·9 million to 124·1 million), by age-related macular degeneration to 8·8 million (0·8 million to 32·1 million), by glaucoma to 4·5 million (0·5 million to 15·4 million), and by diabetic retinopathy to 3·2 million (0·2 million to 12·9 million). By 2020, a…","author":[{"dropping-particle":"","family":"Flaxman","given":"Seth R.","non-dropping-particle":"","parse-names":false,"suffix":""},{"dropping-particle":"","family":"Bourne","given":"Rupert R.A.","non-dropping-particle":"","parse-names":false,"suffix":""},{"dropping-particle":"","family":"Resnikoff","given":"Serge","non-dropping-particle":"","parse-names":false,"suffix":""},{"dropping-particle":"","family":"Ackland","given":"Peter","non-dropping-particle":"","parse-names":false,"suffix":""},{"dropping-particle":"","family":"Braithwaite","given":"Tasanee","non-dropping-particle":"","parse-names":false,"suffix":""},{"dropping-particle":"V.","family":"Cicinelli","given":"Maria","non-dropping-particle":"","parse-names":false,"suffix":""},{"dropping-particle":"","family":"Das","given":"Aditi","non-dropping-particle":"","parse-names":false,"suffix":""},{"dropping-particle":"","family":"Jonas","given":"Jost B.","non-dropping-particle":"","parse-names":false,"suffix":""},{"dropping-particle":"","family":"Keeffe","given":"Jill","non-dropping-particle":"","parse-names":false,"suffix":""},{"dropping-particle":"","family":"Kempen","given":"John","non-dropping-particle":"","parse-names":false,"suffix":""},{"dropping-particle":"","family":"Leasher","given":"Janet","non-dropping-particle":"","parse-names":false,"suffix":""},{"dropping-particle":"","family":"Limburg","given":"Hans","non-dropping-particle":"","parse-names":false,"suffix":""},{"dropping-particle":"","family":"Naidoo","given":"Kovin","non-dropping-particle":"","parse-names":false,"suffix":""},{"dropping-particle":"","family":"Pesudovs","given":"Konrad","non-dropping-particle":"","parse-names":false,"suffix":""},{"dropping-particle":"","family":"Silvester","given":"Alex","non-dropping-particle":"","parse-names":false,"suffix":""},{"dropping-particle":"","family":"Stevens","given":"Gretchen A.","non-dropping-particle":"","parse-names":false,"suffix":""},{"dropping-particle":"","family":"Tahhan","given":"Nina","non-dropping-particle":"","parse-names":false,"suffix":""},{"dropping-particle":"","family":"Wong","given":"Tien","non-dropping-particle":"","parse-names":false,"suffix":""},{"dropping-particle":"","family":"Taylor","given":"Hugh","non-dropping-particle":"","parse-names":false,"suffix":""},{"dropping-particle":"","family":"Arditi","given":"Aries","non-dropping-particle":"","parse-names":false,"suffix":""},{"dropping-particle":"","family":"Barkana","given":"Yaniv","non-dropping-particle":"","parse-names":false,"suffix":""},{"dropping-particle":"","family":"Bozkurt","given":"Banu","non-dropping-particle":"","parse-names":false,"suffix":""},{"dropping-particle":"","family":"Bron","given":"Alain","non-dropping-particle":"","parse-names":false,"suffix":""},{"dropping-particle":"","family":"Budenz","given":"Donald","non-dropping-particle":"","parse-names":false,"suffix":""},{"dropping-particle":"","family":"Cai","given":"Feng","non-dropping-particle":"","parse-names":false,"suffix":""},{"dropping-particle":"","family":"Casson","given":"Robert","non-dropping-particle":"","parse-names":false,"suffix":""},{"dropping-particle":"","family":"Chakravarthy","given":"Usha","non-dropping-particle":"","parse-names":false,"suffix":""},{"dropping-particle":"","family":"Choi","given":"Jaewan","non-dropping-particle":"","parse-names":false,"suffix":""},{"dropping-particle":"","family":"Congdon","given":"Nathan","non-dropping-particle":"","parse-names":false,"suffix":""},{"dropping-particle":"","family":"Dana","given":"Reza","non-dropping-particle":"","parse-names":false,"suffix":""},{"dropping-particle":"","family":"Dandona","given":"Rakhi","non-dropping-particle":"","parse-names":false,"suffix":""},{"dropping-particle":"","family":"Dandona","given":"Lalit","non-dropping-particle":"","parse-names":false,"suffix":""},{"dropping-particle":"","family":"Dekaris","given":"Iva","non-dropping-particle":"","parse-names":false,"suffix":""},{"dropping-particle":"","family":"Monte","given":"Monte","non-dropping-particle":"Del","parse-names":false,"suffix":""},{"dropping-particle":"","family":"Deva","given":"Jenny","non-dropping-particle":"","parse-names":false,"suffix":""},{"dropping-particle":"","family":"Dreer","given":"Laura","non-dropping-particle":"","parse-names":false,"suffix":""},{"dropping-particle":"","family":"Ellwein","given":"Leon","non-dropping-particle":"","parse-names":false,"suffix":""},{"dropping-particle":"","family":"Frazier","given":"Marcela","non-dropping-particle":"","parse-names":false,"suffix":""},{"dropping-particle":"","family":"Frick","given":"Kevin","non-dropping-particle":"","parse-names":false,"suffix":""},{"dropping-particle":"","family":"Friedman","given":"David","non-dropping-particle":"","parse-names":false,"suffix":""},{"dropping-particle":"","family":"Furtado","given":"Joao","non-dropping-particle":"","parse-names":false,"suffix":""},{"dropping-particle":"","family":"Gao","given":"Hua","non-dropping-particle":"","parse-names":false,"suffix":""},{"dropping-particle":"","family":"Gazzard","given":"Gus","non-dropping-particle":"","parse-names":false,"suffix":""},{"dropping-particle":"","family":"George","given":"Ronnie","non-dropping-particle":"","parse-names":false,"suffix":""},{"dropping-particle":"","family":"Gichuhi","given":"Stephen","non-dropping-particle":"","parse-names":false,"suffix":""},{"dropping-particle":"","family":"Gonzalez","given":"Victor","non-dropping-particle":"","parse-names":false,"suffix":""},{"dropping-particle":"","family":"Hammond","given":"Billy","non-dropping-particle":"","parse-names":false,"suffix":""},{"dropping-particle":"","family":"Hartnett","given":"Mary Elizabeth","non-dropping-particle":"","parse-names":false,"suffix":""},{"dropping-particle":"","family":"He","given":"Minguang","non-dropping-particle":"","parse-names":false,"suffix":""},{"dropping-particle":"","family":"Hejtmancik","given":"James","non-dropping-particle":"","parse-names":false,"suffix":""},{"dropping-particle":"","family":"Hirai","given":"Flavio","non-dropping-particle":"","parse-names":false,"suffix":""},{"dropping-particle":"","family":"Huang","given":"John","non-dropping-particle":"","parse-names":false,"suffix":""},{"dropping-particle":"","family":"Ingram","given":"April","non-dropping-particle":"","parse-names":false,"suffix":""},{"dropping-particle":"","family":"Javitt","given":"Jonathan","non-dropping-particle":"","parse-names":false,"suffix":""},{"dropping-particle":"","family":"Joslin","given":"Charlotte","non-dropping-particle":"","parse-names":false,"suffix":""},{"dropping-particle":"","family":"Khairallah","given":"Moncef","non-dropping-particle":"","parse-names":false,"suffix":""},{"dropping-particle":"","family":"Khanna","given":"Rohit","non-dropping-particle":"","parse-names":false,"suffix":""},{"dropping-particle":"","family":"Kim","given":"Judy","non-dropping-particle":"","parse-names":false,"suffix":""},{"dropping-particle":"","family":"Lambrou","given":"George","non-dropping-particle":"","parse-names":false,"suffix":""},{"dropping-particle":"","family":"Lansingh","given":"Van Charles","non-dropping-particle":"","parse-names":false,"suffix":""},{"dropping-particle":"","family":"Lanzetta","given":"Paolo","non-dropping-particle":"","parse-names":false,"suffix":""},{"dropping-particle":"","family":"Lim","given":"Jennifer","non-dropping-particle":"","parse-names":false,"suffix":""},{"dropping-particle":"","family":"Mansouri","given":"Kaweh","non-dropping-particle":"","parse-names":false,"suffix":""},{"dropping-particle":"","family":"Mathew","given":"Anu","non-dropping-particle":"","parse-names":false,"suffix":""},{"dropping-particle":"","family":"Morse","given":"Alan","non-dropping-particle":"","parse-names":false,"suffix":""},{"dropping-particle":"","family":"Munoz","given":"Beatriz","non-dropping-particle":"","parse-names":false,"suffix":""},{"dropping-particle":"","family":"Musch","given":"David","non-dropping-particle":"","parse-names":false,"suffix":""},{"dropping-particle":"","family":"Nangia","given":"Vinay","non-dropping-particle":"","parse-names":false,"suffix":""},{"dropping-particle":"","family":"Palaiou","given":"Maria","non-dropping-particle":"","parse-names":false,"suffix":""},{"dropping-particle":"","family":"Parodi","given":"Maurizio Battaglia","non-dropping-particle":"","parse-names":false,"suffix":""},{"dropping-particle":"","family":"Pena","given":"Fernando Yaacov","non-dropping-particle":"","parse-names":false,"suffix":""},{"dropping-particle":"","family":"Peto","given":"Tunde","non-dropping-particle":"","parse-names":false,"suffix":""},{"dropping-particle":"","family":"Quigley","given":"Harry","non-dropping-particle":"","parse-names":false,"suffix":""},{"dropping-particle":"","family":"Raju","given":"Murugesan","non-dropping-particle":"","parse-names":false,"suffix":""},{"dropping-particle":"","family":"Ramulu","given":"Pradeep","non-dropping-particle":"","parse-names":false,"suffix":""},{"dropping-particle":"","family":"Reza","given":"Dana","non-dropping-particle":"","parse-names":false,"suffix":""},{"dropping-particle":"","family":"Robin","given":"Alan","non-dropping-particle":"","parse-names":false,"suffix":""},{"dropping-particle":"","family":"Rossetti","given":"Luca","non-dropping-particle":"","parse-names":false,"suffix":""},{"dropping-particle":"","family":"Saaddine","given":"Jinan","non-dropping-particle":"","parse-names":false,"suffix":""},{"dropping-particle":"","family":"Sandar","given":"Mya","non-dropping-particle":"","parse-names":false,"suffix":""},{"dropping-particle":"","family":"Serle","given":"Janet","non-dropping-particle":"","parse-names":false,"suffix":""},{"dropping-particle":"","family":"Shen","given":"Tueng","non-dropping-particle":"","parse-names":false,"suffix":""},{"dropping-particle":"","family":"Shetty","given":"Rajesh","non-dropping-particle":"","parse-names":false,"suffix":""},{"dropping-particle":"","family":"Sieving","given":"Pamela","non-dropping-particle":"","parse-names":false,"suffix":""},{"dropping-particle":"","family":"Silva","given":"Juan Carlos","non-dropping-particle":"","parse-names":false,"suffix":""},{"dropping-particle":"","family":"Sitorus","given":"Rita S.","non-dropping-particle":"","parse-names":false,"suffix":""},{"dropping-particle":"","family":"Stambolian","given":"Dwight","non-dropping-particle":"","parse-names":false,"suffix":""},{"dropping-particle":"","family":"Tejedor","given":"Jaime","non-dropping-particle":"","parse-names":false,"suffix":""},{"dropping-particle":"","family":"Tielsch","given":"James","non-dropping-particle":"","parse-names":false,"suffix":""},{"dropping-particle":"","family":"Tsilimbaris","given":"Miltiadis","non-dropping-particle":"","parse-names":false,"suffix":""},{"dropping-particle":"","family":"Meurs","given":"Jan","non-dropping-particle":"van","parse-names":false,"suffix":""},{"dropping-particle":"","family":"Varma","given":"Rohit","non-dropping-particle":"","parse-names":false,"suffix":""},{"dropping-particle":"","family":"Virgili","given":"Gianni","non-dropping-particle":"","parse-names":false,"suffix":""},{"dropping-particle":"","family":"Wang","given":"Ya Xing","non-dropping-particle":"","parse-names":false,"suffix":""},{"dropping-particle":"","family":"Wang","given":"Ning Li","non-dropping-particle":"","parse-names":false,"suffix":""},{"dropping-particle":"","family":"West","given":"Sheila","non-dropping-particle":"","parse-names":false,"suffix":""},{"dropping-particle":"","family":"Wiedemann","given":"Peter","non-dropping-particle":"","parse-names":false,"suffix":""},{"dropping-particle":"","family":"Wormald","given":"Richard","non-dropping-particle":"","parse-names":false,"suffix":""},{"dropping-particle":"","family":"Zheng","given":"Yingfeng","non-dropping-particle":"","parse-names":false,"suffix":""}],"container-title":"The Lancet Global Health","id":"ITEM-1","issue":"12","issued":{"date-parts":[["2017","12","1"]]},"page":"e1221-e1234","publisher":"Elsevier Ltd","title":"Global causes of blindness and distance vision impairment 1990–2020: a systematic review and meta-analysis","type":"article-journal","volume":"5"},"uris":["http://www.mendeley.com/documents/?uuid=b2be8c89-6213-3d74-859b-c045b8656025"]}],"mendeley":{"formattedCitation":"&lt;sup&gt;1&lt;/sup&gt;","plainTextFormattedCitation":"1","previouslyFormattedCitation":"&lt;sup&gt;1&lt;/sup&gt;"},"properties":{"noteIndex":0},"schema":"https://github.com/citation-style-language/schema/raw/master/csl-citation.json"}</w:instrText>
      </w:r>
      <w:r w:rsidR="00540BFB">
        <w:fldChar w:fldCharType="separate"/>
      </w:r>
      <w:r w:rsidR="00540BFB" w:rsidRPr="00540BFB">
        <w:rPr>
          <w:noProof/>
          <w:vertAlign w:val="superscript"/>
        </w:rPr>
        <w:t>1</w:t>
      </w:r>
      <w:r w:rsidR="00540BFB">
        <w:fldChar w:fldCharType="end"/>
      </w:r>
      <w:r w:rsidRPr="003B0AB5">
        <w:t xml:space="preserve"> This has prompted a recent proposal in the Bulletin of the World Health Organization to assign neglected tropical disease status to corneal ulceration in an attempt to increase resource allocation to this significant but underrecognized condition.</w:t>
      </w:r>
      <w:r w:rsidR="00540BFB">
        <w:fldChar w:fldCharType="begin" w:fldLock="1"/>
      </w:r>
      <w:r w:rsidR="00540BFB">
        <w:instrText>ADDIN CSL_CITATION {"citationItems":[{"id":"ITEM-1","itemData":{"author":[{"dropping-particle":"","family":"Ung","given":"Lawson","non-dropping-particle":"","parse-names":false,"suffix":""},{"dropping-particle":"","family":"Acharya","given":"Nisha R","non-dropping-particle":"","parse-names":false,"suffix":""},{"dropping-particle":"","family":"Agarwal","given":"Tushar","non-dropping-particle":"","parse-names":false,"suffix":""},{"dropping-particle":"","family":"Alfonso","given":"Eduardo C","non-dropping-particle":"","parse-names":false,"suffix":""},{"dropping-particle":"","family":"Bagga","given":"Bhupesh","non-dropping-particle":"","parse-names":false,"suffix":""},{"dropping-particle":"","family":"Bispo","given":"J M","non-dropping-particle":"","parse-names":false,"suffix":""},{"dropping-particle":"","family":"Burton","given":"Matthew J","non-dropping-particle":"","parse-names":false,"suffix":""},{"dropping-particle":"","family":"Dart","given":"K G","non-dropping-particle":"","parse-names":false,"suffix":""},{"dropping-particle":"","family":"Doan","given":"Thuy","non-dropping-particle":"","parse-names":false,"suffix":""},{"dropping-particle":"","family":"Fleiszig","given":"M J","non-dropping-particle":"","parse-names":false,"suffix":""},{"dropping-particle":"","family":"Garg","given":"Prashant","non-dropping-particle":"","parse-names":false,"suffix":""},{"dropping-particle":"","family":"Gilmore","given":"Michael S","non-dropping-particle":"","parse-names":false,"suffix":""},{"dropping-particle":"","family":"Gritz","given":"David C","non-dropping-particle":"","parse-names":false,"suffix":""},{"dropping-particle":"","family":"Hazlett","given":"Linda D","non-dropping-particle":"","parse-names":false,"suffix":""},{"dropping-particle":"","family":"Iovieno","given":"Alfonso","non-dropping-particle":"","parse-names":false,"suffix":""},{"dropping-particle":"","family":"Jhanji","given":"Vishal","non-dropping-particle":"","parse-names":false,"suffix":""},{"dropping-particle":"","family":"Kempen","given":"John H","non-dropping-particle":"","parse-names":false,"suffix":""},{"dropping-particle":"","family":"Lee","given":"Cecilia S","non-dropping-particle":"","parse-names":false,"suffix":""},{"dropping-particle":"","family":"Lietman","given":"Thomas M","non-dropping-particle":"","parse-names":false,"suffix":""},{"dropping-particle":"","family":"Margolis","given":"Todd P","non-dropping-particle":"","parse-names":false,"suffix":""},{"dropping-particle":"","family":"Mcleod","given":"Stephen D","non-dropping-particle":"","parse-names":false,"suffix":""},{"dropping-particle":"","family":"Mehta","given":"Jod S","non-dropping-particle":"","parse-names":false,"suffix":""},{"dropping-particle":"","family":"Miller","given":"Darlene","non-dropping-particle":"","parse-names":false,"suffix":""},{"dropping-particle":"","family":"Pearlman","given":"Eric","non-dropping-particle":"","parse-names":false,"suffix":""},{"dropping-particle":"","family":"Sharma","given":"Savitri","non-dropping-particle":"","parse-names":false,"suffix":""},{"dropping-particle":"","family":"Srinivasan","given":"Muthiah","non-dropping-particle":"","parse-names":false,"suffix":""},{"dropping-particle":"","family":"Stapleton","given":"Fiona","non-dropping-particle":"","parse-names":false,"suffix":""},{"dropping-particle":"","family":"Tan","given":"T H","non-dropping-particle":"","parse-names":false,"suffix":""},{"dropping-particle":"","family":"Tandon","given":"Radhika","non-dropping-particle":"","parse-names":false,"suffix":""},{"dropping-particle":"","family":"Taylor","given":"Hugh R","non-dropping-particle":"","parse-names":false,"suffix":""},{"dropping-particle":"","family":"Tu","given":"Elmer Y","non-dropping-particle":"","parse-names":false,"suffix":""},{"dropping-particle":"","family":"Tuli","given":"Sonal S","non-dropping-particle":"","parse-names":false,"suffix":""},{"dropping-particle":"","family":"Vajpayee","given":"Rasik B","non-dropping-particle":"","parse-names":false,"suffix":""},{"dropping-particle":"Van","family":"Gelder","given":"Russell N","non-dropping-particle":"","parse-names":false,"suffix":""},{"dropping-particle":"","family":"Watson","given":"Stephanie L","non-dropping-particle":"","parse-names":false,"suffix":""},{"dropping-particle":"","family":"Zegans","given":"E","non-dropping-particle":"","parse-names":false,"suffix":""}],"id":"ITEM-1","issue":"March","issued":{"date-parts":[["2019"]]},"page":"854-856","title":"Infectious corneal ulceration : a proposal for neglected tropical disease status","type":"article-journal"},"uris":["http://www.mendeley.com/documents/?uuid=016cd043-a065-4087-9c80-00e8d7324d5e"]}],"mendeley":{"formattedCitation":"&lt;sup&gt;4&lt;/sup&gt;","plainTextFormattedCitation":"4","previouslyFormattedCitation":"&lt;sup&gt;4&lt;/sup&gt;"},"properties":{"noteIndex":0},"schema":"https://github.com/citation-style-language/schema/raw/master/csl-citation.json"}</w:instrText>
      </w:r>
      <w:r w:rsidR="00540BFB">
        <w:fldChar w:fldCharType="separate"/>
      </w:r>
      <w:r w:rsidR="00540BFB" w:rsidRPr="00540BFB">
        <w:rPr>
          <w:noProof/>
          <w:vertAlign w:val="superscript"/>
        </w:rPr>
        <w:t>4</w:t>
      </w:r>
      <w:r w:rsidR="00540BFB">
        <w:fldChar w:fldCharType="end"/>
      </w:r>
    </w:p>
    <w:p w14:paraId="51F5720A" w14:textId="77777777" w:rsidR="00540BFB" w:rsidRDefault="00540BFB" w:rsidP="003B0AB5"/>
    <w:p w14:paraId="05147538" w14:textId="7AE3EDD9" w:rsidR="003B0AB5" w:rsidRDefault="003B0AB5" w:rsidP="003B0AB5">
      <w:r w:rsidRPr="003B0AB5">
        <w:t>Infectious keratitis is characterized by bacterial, fungal, viral, or parasitic invasion of the corneal stroma. These classes of pathogens are quite different, causing differing courses of clinical disease and requiring distinct therapeutic regimens. For example, antibiotics are ineffective against fungi, antifungals are ineffective against bacteria, and steroids likely have a role in the treatment of bacterial keratitis but can be harmful in fungal keratitis.</w:t>
      </w:r>
      <w:r w:rsidR="00540BFB">
        <w:fldChar w:fldCharType="begin" w:fldLock="1"/>
      </w:r>
      <w:r w:rsidR="00540BFB">
        <w:instrText>ADDIN CSL_CITATION {"citationItems":[{"id":"ITEM-1","itemData":{"DOI":"10.1016/j.ajo.2013.09.025","ISSN":"18791891","abstract":"Purpose To determine whether topical corticosteroids as adjunctive therapy for bacterial keratitis improves long-term clinical outcomes. Design Randomized, placebo-controlled, double-masked clinical trial. Methods This multicenter trial compared 1.0% prednisolone sodium phosphate to placebo in the treatment of bacterial keratitis among 500 patients with culture-positive ulcers receiving 48 hours of moxifloxacin before randomization. The primary endpoint was 3 months from enrollment, and 399 patients were evaluated at 12 months. The outcomes examined were best spectacle-corrected visual acuity (BSCVA) and scar size at 12 months. Based on previous results, regression models with adjustments for baseline status and/or causative organism were used for analysis. Results No significant differences in clinical outcomes by treatment group were seen with the prespecified regression models (BSCVA: -0.04 logMAR, 95% CI, -0.12 to 0.05, P =.39; scar size: 0.03 mm, 95% CI, -0.12 to 0.18, P =.69). A regression model including a Nocardia-treatment arm interaction found corticosteroid use associated with a mean 1-line improvement in BSCVA at 12 months among patients with non-Nocardia ulcers (-0.10 logMAR, 95% CI, -0.19 to -0.02, P =.02). No significant difference was observed in 12-month BSCVA for Nocardia ulcers (0.18 logMAR, 95% CI, -0.04 to 0.41, P =.16). Corticosteroids were associated with larger mean scar size at 12 months among Nocardia ulcers (0.47 mm, 95% CI, 0.06-0.88, P =.02) and no significant difference was identified by treatment for scar size for non-Nocardia ulcers (-0.06 mm, 95% CI, -0.21 to 0.10, P =.46). Conclusions Adjunctive topical corticosteroid therapy may be associated with improved long-term clinical outcomes in bacterial corneal ulcers not caused by Nocardia species. © 2014 BY ELSEVIER INC. ALL RIGHTS RESERVED.","author":[{"dropping-particle":"","family":"Srinivasan","given":"Muthiah","non-dropping-particle":"","parse-names":false,"suffix":""},{"dropping-particle":"","family":"Mascarenhas","given":"Jeena","non-dropping-particle":"","parse-names":false,"suffix":""},{"dropping-particle":"","family":"Rajaraman","given":"Revathi","non-dropping-particle":"","parse-names":false,"suffix":""},{"dropping-particle":"","family":"Ravindran","given":"Meenakshi","non-dropping-particle":"","parse-names":false,"suffix":""},{"dropping-particle":"","family":"Lalitha","given":"Prajna","non-dropping-particle":"","parse-names":false,"suffix":""},{"dropping-particle":"","family":"O'Brien","given":"Kieran S.","non-dropping-particle":"","parse-names":false,"suffix":""},{"dropping-particle":"V.","family":"Glidden","given":"David","non-dropping-particle":"","parse-names":false,"suffix":""},{"dropping-particle":"","family":"Ray","given":"Kathryn J.","non-dropping-particle":"","parse-names":false,"suffix":""},{"dropping-particle":"","family":"Oldenburg","given":"Catherine E.","non-dropping-particle":"","parse-names":false,"suffix":""},{"dropping-particle":"","family":"Zegans","given":"Michael E.","non-dropping-particle":"","parse-names":false,"suffix":""},{"dropping-particle":"","family":"Whitcher","given":"John P.","non-dropping-particle":"","parse-names":false,"suffix":""},{"dropping-particle":"","family":"McLeod","given":"Stephen D.","non-dropping-particle":"","parse-names":false,"suffix":""},{"dropping-particle":"","family":"Porco","given":"Travis C.","non-dropping-particle":"","parse-names":false,"suffix":""},{"dropping-particle":"","family":"Lietman","given":"Thomas M.","non-dropping-particle":"","parse-names":false,"suffix":""},{"dropping-particle":"","family":"Acharya","given":"Nisha R.","non-dropping-particle":"","parse-names":false,"suffix":""}],"container-title":"American Journal of Ophthalmology","id":"ITEM-1","issue":"2","issued":{"date-parts":[["2014"]]},"publisher":"Elsevier Inc.","title":"The steroids for corneal ulcers trial (SCUT): Secondary 12-month clinical outcomes of a randomized controlled trial","type":"article-journal","volume":"157"},"uris":["http://www.mendeley.com/documents/?uuid=ffe44e99-438b-3db2-86e1-2cdf85367c3e"]},{"id":"ITEM-2","itemData":{"DOI":"10.1097/00004397-199403430-00005","ISSN":"0020-8167","PMID":"7960514","author":[{"dropping-particle":"","family":"Pineda","given":"R","non-dropping-particle":"","parse-names":false,"suffix":""},{"dropping-particle":"","family":"Dohlman","given":"C H","non-dropping-particle":"","parse-names":false,"suffix":""}],"container-title":"International ophthalmology clinics","id":"ITEM-2","issue":"3","issued":{"date-parts":[["1994"]]},"page":"19-31","publisher":"Lippincott Williams and Wilkins","title":"The role of steroids in the management of Acanthamoeba keratitis, fungal keratitis, and epidemic keratoconjunctivitis.","type":"article-journal","volume":"34"},"uris":["http://www.mendeley.com/documents/?uuid=b75f8a0f-a53d-39e9-b3f0-92780ad93708"]}],"mendeley":{"formattedCitation":"&lt;sup&gt;5,6&lt;/sup&gt;","plainTextFormattedCitation":"5,6","previouslyFormattedCitation":"&lt;sup&gt;5,6&lt;/sup&gt;"},"properties":{"noteIndex":0},"schema":"https://github.com/citation-style-language/schema/raw/master/csl-citation.json"}</w:instrText>
      </w:r>
      <w:r w:rsidR="00540BFB">
        <w:fldChar w:fldCharType="separate"/>
      </w:r>
      <w:r w:rsidR="00540BFB" w:rsidRPr="00540BFB">
        <w:rPr>
          <w:noProof/>
          <w:vertAlign w:val="superscript"/>
        </w:rPr>
        <w:t>5,6</w:t>
      </w:r>
      <w:r w:rsidR="00540BFB">
        <w:fldChar w:fldCharType="end"/>
      </w:r>
      <w:r w:rsidRPr="003B0AB5">
        <w:t xml:space="preserve"> Earlier treatment for the correct pathogen improves visual outcomes. Thus</w:t>
      </w:r>
      <w:r w:rsidR="00540BFB">
        <w:t>,</w:t>
      </w:r>
      <w:r w:rsidRPr="003B0AB5">
        <w:t xml:space="preserve"> prompt identification of the etiology of infectious keratitis is important to guide antimicrobial therapy, particularly the differentiation between bacterial and fungal keratitis.</w:t>
      </w:r>
      <w:r w:rsidR="00540BFB">
        <w:fldChar w:fldCharType="begin" w:fldLock="1"/>
      </w:r>
      <w:r w:rsidR="00540BFB">
        <w:instrText>ADDIN CSL_CITATION {"citationItems":[{"id":"ITEM-1","itemData":{"DOI":"10.1016/j.ajo.2013.09.025","ISSN":"18791891","abstract":"Purpose To determine whether topical corticosteroids as adjunctive therapy for bacterial keratitis improves long-term clinical outcomes. Design Randomized, placebo-controlled, double-masked clinical trial. Methods This multicenter trial compared 1.0% prednisolone sodium phosphate to placebo in the treatment of bacterial keratitis among 500 patients with culture-positive ulcers receiving 48 hours of moxifloxacin before randomization. The primary endpoint was 3 months from enrollment, and 399 patients were evaluated at 12 months. The outcomes examined were best spectacle-corrected visual acuity (BSCVA) and scar size at 12 months. Based on previous results, regression models with adjustments for baseline status and/or causative organism were used for analysis. Results No significant differences in clinical outcomes by treatment group were seen with the prespecified regression models (BSCVA: -0.04 logMAR, 95% CI, -0.12 to 0.05, P =.39; scar size: 0.03 mm, 95% CI, -0.12 to 0.18, P =.69). A regression model including a Nocardia-treatment arm interaction found corticosteroid use associated with a mean 1-line improvement in BSCVA at 12 months among patients with non-Nocardia ulcers (-0.10 logMAR, 95% CI, -0.19 to -0.02, P =.02). No significant difference was observed in 12-month BSCVA for Nocardia ulcers (0.18 logMAR, 95% CI, -0.04 to 0.41, P =.16). Corticosteroids were associated with larger mean scar size at 12 months among Nocardia ulcers (0.47 mm, 95% CI, 0.06-0.88, P =.02) and no significant difference was identified by treatment for scar size for non-Nocardia ulcers (-0.06 mm, 95% CI, -0.21 to 0.10, P =.46). Conclusions Adjunctive topical corticosteroid therapy may be associated with improved long-term clinical outcomes in bacterial corneal ulcers not caused by Nocardia species. © 2014 BY ELSEVIER INC. ALL RIGHTS RESERVED.","author":[{"dropping-particle":"","family":"Srinivasan","given":"Muthiah","non-dropping-particle":"","parse-names":false,"suffix":""},{"dropping-particle":"","family":"Mascarenhas","given":"Jeena","non-dropping-particle":"","parse-names":false,"suffix":""},{"dropping-particle":"","family":"Rajaraman","given":"Revathi","non-dropping-particle":"","parse-names":false,"suffix":""},{"dropping-particle":"","family":"Ravindran","given":"Meenakshi","non-dropping-particle":"","parse-names":false,"suffix":""},{"dropping-particle":"","family":"Lalitha","given":"Prajna","non-dropping-particle":"","parse-names":false,"suffix":""},{"dropping-particle":"","family":"O'Brien","given":"Kieran S.","non-dropping-particle":"","parse-names":false,"suffix":""},{"dropping-particle":"V.","family":"Glidden","given":"David","non-dropping-particle":"","parse-names":false,"suffix":""},{"dropping-particle":"","family":"Ray","given":"Kathryn J.","non-dropping-particle":"","parse-names":false,"suffix":""},{"dropping-particle":"","family":"Oldenburg","given":"Catherine E.","non-dropping-particle":"","parse-names":false,"suffix":""},{"dropping-particle":"","family":"Zegans","given":"Michael E.","non-dropping-particle":"","parse-names":false,"suffix":""},{"dropping-particle":"","family":"Whitcher","given":"John P.","non-dropping-particle":"","parse-names":false,"suffix":""},{"dropping-particle":"","family":"McLeod","given":"Stephen D.","non-dropping-particle":"","parse-names":false,"suffix":""},{"dropping-particle":"","family":"Porco","given":"Travis C.","non-dropping-particle":"","parse-names":false,"suffix":""},{"dropping-particle":"","family":"Lietman","given":"Thomas M.","non-dropping-particle":"","parse-names":false,"suffix":""},{"dropping-particle":"","family":"Acharya","given":"Nisha R.","non-dropping-particle":"","parse-names":false,"suffix":""}],"container-title":"American Journal of Ophthalmology","id":"ITEM-1","issue":"2","issued":{"date-parts":[["2014"]]},"publisher":"Elsevier Inc.","title":"The steroids for corneal ulcers trial (SCUT): Secondary 12-month clinical outcomes of a randomized controlled trial","type":"article-journal","volume":"157"},"uris":["http://www.mendeley.com/documents/?uuid=ffe44e99-438b-3db2-86e1-2cdf85367c3e"]},{"id":"ITEM-2","itemData":{"DOI":"10.1001/jamaophthalmol.2013.1497","ISSN":"2168-6165","author":[{"dropping-particle":"","family":"Prajna","given":"N. Venkatesh","non-dropping-particle":"","parse-names":false,"suffix":""},{"dropping-particle":"","family":"Krishnan","given":"Tiruvengada","non-dropping-particle":"","parse-names":false,"suffix":""},{"dropping-particle":"","family":"Mascarenhas","given":"Jeena","non-dropping-particle":"","parse-names":false,"suffix":""},{"dropping-particle":"","family":"Rajaraman","given":"Revathi","non-dropping-particle":"","parse-names":false,"suffix":""},{"dropping-particle":"","family":"Prajna","given":"Lalitha","non-dropping-particle":"","parse-names":false,"suffix":""},{"dropping-particle":"","family":"Srinivasan","given":"Muthiah","non-dropping-particle":"","parse-names":false,"suffix":""},{"dropping-particle":"","family":"Raghavan","given":"Anita","non-dropping-particle":"","parse-names":false,"suffix":""},{"dropping-particle":"","family":"Oldenburg","given":"Catherine E.","non-dropping-particle":"","parse-names":false,"suffix":""},{"dropping-particle":"","family":"Ray","given":"Kathryn J.","non-dropping-particle":"","parse-names":false,"suffix":""},{"dropping-particle":"","family":"Zegans","given":"Michael E.","non-dropping-particle":"","parse-names":false,"suffix":""},{"dropping-particle":"","family":"McLeod","given":"Stephen D.","non-dropping-particle":"","parse-names":false,"suffix":""},{"dropping-particle":"","family":"Porco","given":"Travis C.","non-dropping-particle":"","parse-names":false,"suffix":""},{"dropping-particle":"","family":"Acharya","given":"Nisha R.","non-dropping-particle":"","parse-names":false,"suffix":""},{"dropping-particle":"","family":"Lietman","given":"Thomas M.","non-dropping-particle":"","parse-names":false,"suffix":""},{"dropping-particle":"","family":"Mycotic Ulcer Treatment Trial Group","given":"for the","non-dropping-particle":"","parse-names":false,"suffix":""}],"container-title":"JAMA Ophthalmology","id":"ITEM-2","issue":"4","issued":{"date-parts":[["2013"]]},"page":"422","title":"The Mycotic Ulcer Treatment Trial","type":"article-journal","volume":"131"},"uris":["http://www.mendeley.com/documents/?uuid=be2c5f9a-b10b-44d2-9a22-72dfb1542b01"]}],"mendeley":{"formattedCitation":"&lt;sup&gt;5,7&lt;/sup&gt;","plainTextFormattedCitation":"5,7","previouslyFormattedCitation":"&lt;sup&gt;5,7&lt;/sup&gt;"},"properties":{"noteIndex":0},"schema":"https://github.com/citation-style-language/schema/raw/master/csl-citation.json"}</w:instrText>
      </w:r>
      <w:r w:rsidR="00540BFB">
        <w:fldChar w:fldCharType="separate"/>
      </w:r>
      <w:r w:rsidR="00540BFB" w:rsidRPr="00540BFB">
        <w:rPr>
          <w:noProof/>
          <w:vertAlign w:val="superscript"/>
        </w:rPr>
        <w:t>5,7</w:t>
      </w:r>
      <w:r w:rsidR="00540BFB">
        <w:fldChar w:fldCharType="end"/>
      </w:r>
    </w:p>
    <w:p w14:paraId="347C77D2" w14:textId="77777777" w:rsidR="00540BFB" w:rsidRPr="003B0AB5" w:rsidRDefault="00540BFB" w:rsidP="003B0AB5"/>
    <w:p w14:paraId="7CE18902" w14:textId="65123ED9" w:rsidR="003B0AB5" w:rsidRDefault="003B0AB5" w:rsidP="003B0AB5">
      <w:r w:rsidRPr="003B0AB5">
        <w:t>Cultures of corneal scrapings are the current gold standard method for determining the infectious etiology of corneal ulcers but are negative in 40-60% of cases.</w:t>
      </w:r>
      <w:r w:rsidR="00540BFB">
        <w:fldChar w:fldCharType="begin" w:fldLock="1"/>
      </w:r>
      <w:r w:rsidR="00540BFB">
        <w:instrText>ADDIN CSL_CITATION {"citationItems":[{"id":"ITEM-1","itemData":{"DOI":"10.1016/j.ajo.2005.06.042","ISSN":"00029394","PMID":"16376646","abstract":"• PURPOSE: To compare the microbiological yield of corneal ulcer cultures established by direct inoculation of culture media vs indirect inoculation by means of transport medium (Amies without charcoal). • DESIGN: Single masked, prospective clinical trial. • METHODS: Scrapings were obtained for Gram and potassium hydroxide (KOH) stains from eyes with presumed infectious keratitis and cultured by direct plating onto standard media. Samples were also held in transport media (Amies without charcoal) at room temperature and then plated after 4 and 24 hours. Yields from direct plating vs cultures by means of transport media were compared. • RESULTS: Of 100 consecutive eyes examined with presumed infectious keratitis, Gram or KOH stain revealed a bacterial or fungal agent in 69 cases (69%). Of these, 26 were bacterial and 43 fungal. Twenty-two bacterial infections produced positive cultures by direct plating, and all produced the same organism with Amies medium after 4 and 24 hours, respectively. For 43 fungal infections identified by KOH stain, 29 (67%) yielded a positive result after 4 hours in Amies transport medium and 27 (63%) after 24 hours in Amies medium. A total of three cases (7%) that showed fungal infection on KOH stain but did not yield organisms by direct plating did so after inoculation with Amies transport medium. For all comparisons, there was no difference in recovery rates by means of transport medium compared with direct plating (McNemar exact P &gt; .05). • CONCLUSIONS: In the clinical setting, Amies transport medium may be a useful alternative to direct inoculation onto blood agar for the laboratory evaluation of infectious keratitis. © 2005 by Elsevier Inc. All rights reserved.","author":[{"dropping-particle":"","family":"McLeod","given":"Stephen D.","non-dropping-particle":"","parse-names":false,"suffix":""},{"dropping-particle":"","family":"Kumar","given":"Abha","non-dropping-particle":"","parse-names":false,"suffix":""},{"dropping-particle":"","family":"Cevallos","given":"Vicky","non-dropping-particle":"","parse-names":false,"suffix":""},{"dropping-particle":"","family":"Srinivasan","given":"Muthaiah","non-dropping-particle":"","parse-names":false,"suffix":""},{"dropping-particle":"","family":"Whitcher","given":"John P.","non-dropping-particle":"","parse-names":false,"suffix":""}],"container-title":"American Journal of Ophthalmology","id":"ITEM-1","issue":"6","issued":{"date-parts":[["2005"]]},"publisher":"Elsevier Inc.","title":"Reliability of transport medium in the laboratory evaluation of corneal ulcers","type":"article-journal","volume":"140"},"uris":["http://www.mendeley.com/documents/?uuid=a28c576e-a5c3-3bf4-a97e-f0d6c9241830"]},{"id":"ITEM-2","itemData":{"DOI":"10.1097/00003226-200405000-00009","ISSN":"02773740","abstract":"Objective: We analyzed laboratory results from corneal ulcers seen from 1976 to 1999 at the Francis I. Proctor Foundation, a referral center in San Francisco, to determine the relative frequencies of pathogens and to analyze for trends in frequencies of the most common pathogens. The results were compared with a previous study of corneal ulcers seen from 1948 to 1976 at the same institution. Methods: Ulcers presenting to the Proctor Foundation were Gram stained and cultured using standard techniques. Herpetic corneal ulcers were excluded from the study. Results: Organisms were isolated from 427 ulcers, 38% of all cases. Two hundred seventy-eight (59%) isolates were gram-positive bacteria, 145 (31%) gram-negative bacteria, 16 (3%) Acanthamoeba spp., and 36 (8%) fungi. Staphylococcus aureus was the most common organism, composing 20% of all isolates, followed by viridans group streptococci (12%), Streptococcuspneumoniae (11%), Pseudomonas aeruginosa (6%), Moraxella spp. (5%), and Serratia marcescens (4%). Over the 24-year study period the proportion of positive cultures decreased and the incidence of S. marcescens increased significantly. Comparing the period of 1948-1976 to 1976-1999, the frequency of S. pneumoniae and P. aeruginosa decreased, and that of S. marcescens increased significantly. Conclusion: The common pathogens associated with corneal ulcers have changed over the past 50 years in Northern California, with S. pneumoniae and P. aeruginosa being isolated relatively less often and S. marcescens being isolated with increasing frequency. The decrease in isolation of organisms over the 1976-1999 period may have resulted from increasing empiric antibiotic treatment by referring ophthalmologists.","author":[{"dropping-particle":"","family":"Varaprasathan","given":"Gita","non-dropping-particle":"","parse-names":false,"suffix":""},{"dropping-particle":"","family":"Miller","given":"Kevin","non-dropping-particle":"","parse-names":false,"suffix":""},{"dropping-particle":"","family":"Lietman","given":"Thomas","non-dropping-particle":"","parse-names":false,"suffix":""},{"dropping-particle":"","family":"Whitcher","given":"John P.","non-dropping-particle":"","parse-names":false,"suffix":""},{"dropping-particle":"","family":"Cevallos","given":"Vicky","non-dropping-particle":"","parse-names":false,"suffix":""},{"dropping-particle":"","family":"Okumoto","given":"Masao","non-dropping-particle":"","parse-names":false,"suffix":""},{"dropping-particle":"","family":"Margolis","given":"Todd P.","non-dropping-particle":"","parse-names":false,"suffix":""},{"dropping-particle":"","family":"Yinghui","given":"Miao","non-dropping-particle":"","parse-names":false,"suffix":""},{"dropping-particle":"","family":"Cunningham","given":"Emmett T.","non-dropping-particle":"","parse-names":false,"suffix":""}],"container-title":"Cornea","id":"ITEM-2","issue":"4","issued":{"date-parts":[["2004","5"]]},"page":"360-364","title":"Trends in the Etiology of Infectious Corneal Ulcers at the F. I. Proctor Foundation","type":"article-journal","volume":"23"},"uris":["http://www.mendeley.com/documents/?uuid=9ca4d4e1-3308-3243-b9d6-43c2071e8825"]}],"mendeley":{"formattedCitation":"&lt;sup&gt;8,9&lt;/sup&gt;","plainTextFormattedCitation":"8,9","previouslyFormattedCitation":"&lt;sup&gt;8,9&lt;/sup&gt;"},"properties":{"noteIndex":0},"schema":"https://github.com/citation-style-language/schema/raw/master/csl-citation.json"}</w:instrText>
      </w:r>
      <w:r w:rsidR="00540BFB">
        <w:fldChar w:fldCharType="separate"/>
      </w:r>
      <w:r w:rsidR="00540BFB" w:rsidRPr="00540BFB">
        <w:rPr>
          <w:noProof/>
          <w:vertAlign w:val="superscript"/>
        </w:rPr>
        <w:t>8,9</w:t>
      </w:r>
      <w:r w:rsidR="00540BFB">
        <w:fldChar w:fldCharType="end"/>
      </w:r>
      <w:r w:rsidR="00540BFB">
        <w:t xml:space="preserve"> </w:t>
      </w:r>
      <w:r w:rsidRPr="003B0AB5">
        <w:t>Even when cultures are positive, the results are not available for several days or longer, depending on the pathogen. In the absence of culture data, treatment decisions must be made empirically based on clinical interpretation of the history and appearance of the ulcer. Several distinguishing features in the clinical appearance of fungal keratitis have been described, including “feathery” or “hyphate” lines at the borders of the corneal infiltrate, a dry or rough texture, an elevated plaque-like configuration, and satellite lesions, among others.</w:t>
      </w:r>
      <w:r w:rsidR="00540BFB">
        <w:fldChar w:fldCharType="begin" w:fldLock="1"/>
      </w:r>
      <w:r w:rsidR="00540BFB">
        <w:instrText>ADDIN CSL_CITATION {"citationItems":[{"id":"ITEM-1","itemData":{"DOI":"10.1167/iovs.11-8478","ISSN":"1552-5783","PMID":"22395880","abstract":"PURPOSE The purpose of this study was to determine whether clinical signs of infectious keratitis can be used to identify the causative organism. METHODS Eighty photographs of eyes with culture-proven bacterial keratitis or smear-proven fungal keratitis were randomly selected from 2 clinical trials. Fifteen cornea specialists from the F. I. Proctor Foundation and the Aravind Eye Care System assessed the photographs for prespecified clinical signs of keratitis, and they identified the most likely causative organism. RESULTS Clinicians were able to correctly distinguish bacterial from fungal etiology 66% of the time (P &lt; 0.001). The Gram stain, genus, and species were accurately predicted 46%, 25%, and 10% of the time, respectively. The presence of an irregular/feathery border was associated with fungal keratitis, whereas a wreath infiltrate or an epithelial plaque was associated with bacterial keratitis. CONCLUSIONS Cornea specialists correctly differentiated bacterial from fungal keratitis more often than chance, but in fewer than 70% of cases. More specific categorization led to less successful clinical distinction. Although certain clinical signs of infectious keratitis may be associated with a bacterial or fungal etiology, this study highlights the importance of obtaining appropriate microbiological testing during the initial clinical encounter.","author":[{"dropping-particle":"","family":"Dalmon","given":"Cyril","non-dropping-particle":"","parse-names":false,"suffix":""},{"dropping-particle":"","family":"Porco","given":"Travis C","non-dropping-particle":"","parse-names":false,"suffix":""},{"dropping-particle":"","family":"Lietman","given":"Thomas M","non-dropping-particle":"","parse-names":false,"suffix":""},{"dropping-particle":"","family":"Prajna","given":"N Venkatesh","non-dropping-particle":"","parse-names":false,"suffix":""},{"dropping-particle":"","family":"Prajna","given":"Lalitha","non-dropping-particle":"","parse-names":false,"suffix":""},{"dropping-particle":"","family":"Das","given":"Mano Ranjan","non-dropping-particle":"","parse-names":false,"suffix":""},{"dropping-particle":"","family":"Kumar","given":"J Arun","non-dropping-particle":"","parse-names":false,"suffix":""},{"dropping-particle":"","family":"Mascarenhas","given":"Jeena","non-dropping-particle":"","parse-names":false,"suffix":""},{"dropping-particle":"","family":"Margolis","given":"Todd P","non-dropping-particle":"","parse-names":false,"suffix":""},{"dropping-particle":"","family":"Whitcher","given":"John P","non-dropping-particle":"","parse-names":false,"suffix":""},{"dropping-particle":"","family":"Jeng","given":"Bennie H","non-dropping-particle":"","parse-names":false,"suffix":""},{"dropping-particle":"","family":"Keenan","given":"Jeremy D","non-dropping-particle":"","parse-names":false,"suffix":""},{"dropping-particle":"","family":"Chan","given":"Matilda F","non-dropping-particle":"","parse-names":false,"suffix":""},{"dropping-particle":"","family":"McLeod","given":"Stephen D","non-dropping-particle":"","parse-names":false,"suffix":""},{"dropping-particle":"","family":"Acharya","given":"Nisha R","non-dropping-particle":"","parse-names":false,"suffix":""}],"container-title":"Investigative ophthalmology &amp; visual science","id":"ITEM-1","issue":"4","issued":{"date-parts":[["2012","4","2"]]},"page":"1787-91","title":"The clinical differentiation of bacterial and fungal keratitis: a photographic survey.","type":"article-journal","volume":"53"},"uris":["http://www.mendeley.com/documents/?uuid=2d21cec0-0844-30fa-b465-751421441b82"]},{"id":"ITEM-2","itemData":{"DOI":"10.1016/S0161-6420(94)31225-5","abstract":"Purpose: To review the clinical experience with fungal keratitis in south Florida over a 1 a-year period. Methods: One hundred twenty-five cases of fungal keratitis were identified in the microbiology laboratory records between January 1982 and January 1992. The medical record of each patient was reviewed. Results: The most commonly associated risk factor was trauma (44%). Fungal keratitis developed in five patients using extended wear contact lenses and one patient wearing a therapeutic bandage contact lens. Clinical features included irregular, feathery margins (62%), a dry, rough texture (47%), and satellite lesions (41 %). An initial positive culture was obtained in 90% of patients, with a majority of cultures becoming positive within 48 hours. The Fusarium sp accounted for 62% of the isolates, with Fusarium oxysporum being the most commonly isolated organism. New fungal isolates include Candida parapsilosis, Aspergillus terreus, Candida tropicalis, and Trichosporon beigellii. Natamycin 5% suspension was the initial antifungal agent used for 91 % of the patients, with an average duration of treatment of 38 days. Twenty-five patients were treated with oral ketoconazole for a median duration of 2 weeks, in addition to topical antifungal therapy. Thirty-four patients (27%) required a penetrating keratoplasty. Six patients had recurrence of fungal keratitis after penetrating keratoplasty. Conclusions: Trauma, including contact lens wear, is the most commonly associated risk factor. The fungal organisms can be readily identified in culture. F. oxysporum is the most common organism, with new isolates identified. The mainstay of therapy is topical natamycin with the increasing use of imidazoles.","author":[{"dropping-particle":"","family":"Rosa","given":"Robert H","non-dropping-particle":"","parse-names":false,"suffix":""},{"dropping-particle":"","family":"Miller","given":"Darlene","non-dropping-particle":"","parse-names":false,"suffix":""},{"dropping-particle":"","family":"Alfonso","given":"Eduardo C","non-dropping-particle":"","parse-names":false,"suffix":""}],"container-title":"Ophthalmology","id":"ITEM-2","issued":{"date-parts":[["1994"]]},"number-of-pages":"1005-1013","title":"The Changing Spectrum of Fungal Keratitis in South Florida","type":"report","volume":"101"},"uris":["http://www.mendeley.com/documents/?uuid=80a029ca-6c33-3937-b244-bfcf58a7a5b8"]}],"mendeley":{"formattedCitation":"&lt;sup&gt;10,11&lt;/sup&gt;","plainTextFormattedCitation":"10,11","previouslyFormattedCitation":"&lt;sup&gt;10,11&lt;/sup&gt;"},"properties":{"noteIndex":0},"schema":"https://github.com/citation-style-language/schema/raw/master/csl-citation.json"}</w:instrText>
      </w:r>
      <w:r w:rsidR="00540BFB">
        <w:fldChar w:fldCharType="separate"/>
      </w:r>
      <w:r w:rsidR="00540BFB" w:rsidRPr="00540BFB">
        <w:rPr>
          <w:noProof/>
          <w:vertAlign w:val="superscript"/>
        </w:rPr>
        <w:t>10,11</w:t>
      </w:r>
      <w:r w:rsidR="00540BFB">
        <w:fldChar w:fldCharType="end"/>
      </w:r>
      <w:r w:rsidRPr="003B0AB5">
        <w:t xml:space="preserve"> Nonetheless, clinical differentiation between bacterial and fungal keratitis remains highly unreliable. Even expert cornea clinicians are only able to correctly distinguish bacterial from fungal keratitis 66-73% of the time based on history and examination.</w:t>
      </w:r>
      <w:r w:rsidR="00540BFB">
        <w:fldChar w:fldCharType="begin" w:fldLock="1"/>
      </w:r>
      <w:r w:rsidR="00AC5778">
        <w:instrText>ADDIN CSL_CITATION {"citationItems":[{"id":"ITEM-1","itemData":{"DOI":"10.1167/iovs.11-8478","ISSN":"1552-5783","PMID":"22395880","abstract":"PURPOSE The purpose of this study was to determine whether clinical signs of infectious keratitis can be used to identify the causative organism. METHODS Eighty photographs of eyes with culture-proven bacterial keratitis or smear-proven fungal keratitis were randomly selected from 2 clinical trials. Fifteen cornea specialists from the F. I. Proctor Foundation and the Aravind Eye Care System assessed the photographs for prespecified clinical signs of keratitis, and they identified the most likely causative organism. RESULTS Clinicians were able to correctly distinguish bacterial from fungal etiology 66% of the time (P &lt; 0.001). The Gram stain, genus, and species were accurately predicted 46%, 25%, and 10% of the time, respectively. The presence of an irregular/feathery border was associated with fungal keratitis, whereas a wreath infiltrate or an epithelial plaque was associated with bacterial keratitis. CONCLUSIONS Cornea specialists correctly differentiated bacterial from fungal keratitis more often than chance, but in fewer than 70% of cases. More specific categorization led to less successful clinical distinction. Although certain clinical signs of infectious keratitis may be associated with a bacterial or fungal etiology, this study highlights the importance of obtaining appropriate microbiological testing during the initial clinical encounter.","author":[{"dropping-particle":"","family":"Dalmon","given":"Cyril","non-dropping-particle":"","parse-names":false,"suffix":""},{"dropping-particle":"","family":"Porco","given":"Travis C","non-dropping-particle":"","parse-names":false,"suffix":""},{"dropping-particle":"","family":"Lietman","given":"Thomas M","non-dropping-particle":"","parse-names":false,"suffix":""},{"dropping-particle":"","family":"Prajna","given":"N Venkatesh","non-dropping-particle":"","parse-names":false,"suffix":""},{"dropping-particle":"","family":"Prajna","given":"Lalitha","non-dropping-particle":"","parse-names":false,"suffix":""},{"dropping-particle":"","family":"Das","given":"Mano Ranjan","non-dropping-particle":"","parse-names":false,"suffix":""},{"dropping-particle":"","family":"Kumar","given":"J Arun","non-dropping-particle":"","parse-names":false,"suffix":""},{"dropping-particle":"","family":"Mascarenhas","given":"Jeena","non-dropping-particle":"","parse-names":false,"suffix":""},{"dropping-particle":"","family":"Margolis","given":"Todd P","non-dropping-particle":"","parse-names":false,"suffix":""},{"dropping-particle":"","family":"Whitcher","given":"John P","non-dropping-particle":"","parse-names":false,"suffix":""},{"dropping-particle":"","family":"Jeng","given":"Bennie H","non-dropping-particle":"","parse-names":false,"suffix":""},{"dropping-particle":"","family":"Keenan","given":"Jeremy D","non-dropping-particle":"","parse-names":false,"suffix":""},{"dropping-particle":"","family":"Chan","given":"Matilda F","non-dropping-particle":"","parse-names":false,"suffix":""},{"dropping-particle":"","family":"McLeod","given":"Stephen D","non-dropping-particle":"","parse-names":false,"suffix":""},{"dropping-particle":"","family":"Acharya","given":"Nisha R","non-dropping-particle":"","parse-names":false,"suffix":""}],"container-title":"Investigative ophthalmology &amp; visual science","id":"ITEM-1","issue":"4","issued":{"date-parts":[["2012","4","2"]]},"page":"1787-91","title":"The clinical differentiation of bacterial and fungal keratitis: a photographic survey.","type":"article-journal","volume":"53"},"uris":["http://www.mendeley.com/documents/?uuid=2d21cec0-0844-30fa-b465-751421441b82"]},{"id":"ITEM-2","itemData":{"DOI":"10.1016/j.ajo.2007.02.030","ISSN":"0002-9394","PMID":"17408586","abstract":"PURPOSE To evaluate the ability of ophthalmologists to predict the laboratory results of presumed microbial keratitis and to explore which findings may influence diagnostic prognostication. DESIGN Prospective, cross-sectional study. METHODS Fifteen ophthalmologists completed study forms at the initial presentation of patients with presumed microbial keratitis. After predicting the category of microbial recovery, clinicians submitted corneal scrapings for masked laboratory processing. The relative effects of ocular inflammatory signs on correct microbial diagnosis were explored with Poisson regression. RESULTS Clinical examiners correctly predicted the presence or absence of microbial recovery in 79 (76%) of 104 ulcerative keratitis cases and successfully distinguished among bacterial, fungal, and amebic keratitis for 54 (73%) of 74 culture-positive infections, although only 31 (42%) were subcategorized properly. The positive predictive value of clinical diagnosis was 65% (95% confidence interval [CI], 43% to 84%) for 20 eyes with Pseudomonas keratitis cases, 48% (95% CI, 32% to 63%) for 38 other bacterial keratitis, 45% (95% CI, 17% to 77%) for 13 fungal keratitis, and 89% (95% CI, 52% to 100%) for nine Acanthamoeba keratitis cases. The recognition of Pseudomonas keratitis significantly improved by the occurrence of a larger infiltrate (P = .02), and correctly predicting Acanthamoeba keratitis was enhanced by observing a ring infiltrate (P &lt; .001). Antimicrobial use before referral significantly attenuated clinical diagnosis (P = .03) and hampered microbial recovery (P = .004). CONCLUSIONS Established Pseudomonas keratitis and Acanthamoeba keratitis can be suspected before laboratory confirmation, but overlapping inflammatory features and recent empiric antimicrobial treatment limits etiologic recognition of most microbial corneal infections.","author":[{"dropping-particle":"","family":"Dahlgren","given":"Matthew A","non-dropping-particle":"","parse-names":false,"suffix":""},{"dropping-particle":"","family":"Lingappan","given":"Ahila","non-dropping-particle":"","parse-names":false,"suffix":""},{"dropping-particle":"","family":"Wilhelmus","given":"Kirk R","non-dropping-particle":"","parse-names":false,"suffix":""}],"container-title":"American journal of ophthalmology","id":"ITEM-2","issue":"6","issued":{"date-parts":[["2007","6"]]},"page":"940-944","title":"The clinical diagnosis of microbial keratitis.","type":"article-journal","volume":"143"},"uris":["http://www.mendeley.com/documents/?uuid=91e9ae6d-664b-3f84-b8d9-bd8580fc8f9c"]}],"mendeley":{"formattedCitation":"&lt;sup&gt;10,12&lt;/sup&gt;","plainTextFormattedCitation":"10,12","previouslyFormattedCitation":"&lt;sup&gt;10,12&lt;/sup&gt;"},"properties":{"noteIndex":0},"schema":"https://github.com/citation-style-language/schema/raw/master/csl-citation.json"}</w:instrText>
      </w:r>
      <w:r w:rsidR="00540BFB">
        <w:fldChar w:fldCharType="separate"/>
      </w:r>
      <w:r w:rsidR="00540BFB" w:rsidRPr="00540BFB">
        <w:rPr>
          <w:noProof/>
          <w:vertAlign w:val="superscript"/>
        </w:rPr>
        <w:t>10,12</w:t>
      </w:r>
      <w:r w:rsidR="00540BFB">
        <w:fldChar w:fldCharType="end"/>
      </w:r>
      <w:r w:rsidRPr="003B0AB5">
        <w:t xml:space="preserve"> As a result, there is a clinically significant gap in our ability to rapidly initiate directed antimicrobial therapy for infectious keratitis. This represents an opportunity to improve the clinical differentiation of bacterial and fungal keratitis using artificial intelligence for image-based diagnosis, or “computer vision.”</w:t>
      </w:r>
      <w:r w:rsidR="00AC5778">
        <w:t xml:space="preserve"> </w:t>
      </w:r>
    </w:p>
    <w:p w14:paraId="7EF25BBB" w14:textId="32B61822" w:rsidR="003B0AB5" w:rsidRDefault="003B0AB5" w:rsidP="003B0AB5"/>
    <w:p w14:paraId="1A902DC9" w14:textId="1A0C67F8" w:rsidR="003B0AB5" w:rsidRPr="003B0AB5" w:rsidRDefault="003B0AB5" w:rsidP="003B0AB5">
      <w:r w:rsidRPr="003B0AB5">
        <w:t>Developing a DL system for image-based diagnosis requires a large dataset of clinical images and the corresponding “ground truth” (or gold standard) diagnosis. Over the past several decades, my mentors at the Francis I Proctor Foundation and the Aravind Eye Care System have performed several NIH-supported clinical trials to guide the management of infectious keratitis, including the Steroids for Corneal Ulcers Trial (SCUT), Mycotic Ulcer Treatment Trials I &amp; II (MUTT), Cross-Linking-Assisted Infection Reduction I &amp; II (CLAIR), and Mycotic Antimicrobial Localized Injection (MALIN).</w:t>
      </w:r>
      <w:r w:rsidR="00AC5778">
        <w:fldChar w:fldCharType="begin" w:fldLock="1"/>
      </w:r>
      <w:r w:rsidR="0042298F">
        <w:instrText>ADDIN CSL_CITATION {"citationItems":[{"id":"ITEM-1","itemData":{"DOI":"10.1016/j.ajo.2013.09.025","ISSN":"18791891","abstract":"Purpose To determine whether topical corticosteroids as adjunctive therapy for bacterial keratitis improves long-term clinical outcomes. Design Randomized, placebo-controlled, double-masked clinical trial. Methods This multicenter trial compared 1.0% prednisolone sodium phosphate to placebo in the treatment of bacterial keratitis among 500 patients with culture-positive ulcers receiving 48 hours of moxifloxacin before randomization. The primary endpoint was 3 months from enrollment, and 399 patients were evaluated at 12 months. The outcomes examined were best spectacle-corrected visual acuity (BSCVA) and scar size at 12 months. Based on previous results, regression models with adjustments for baseline status and/or causative organism were used for analysis. Results No significant differences in clinical outcomes by treatment group were seen with the prespecified regression models (BSCVA: -0.04 logMAR, 95% CI, -0.12 to 0.05, P =.39; scar size: 0.03 mm, 95% CI, -0.12 to 0.18, P =.69). A regression model including a Nocardia-treatment arm interaction found corticosteroid use associated with a mean 1-line improvement in BSCVA at 12 months among patients with non-Nocardia ulcers (-0.10 logMAR, 95% CI, -0.19 to -0.02, P =.02). No significant difference was observed in 12-month BSCVA for Nocardia ulcers (0.18 logMAR, 95% CI, -0.04 to 0.41, P =.16). Corticosteroids were associated with larger mean scar size at 12 months among Nocardia ulcers (0.47 mm, 95% CI, 0.06-0.88, P =.02) and no significant difference was identified by treatment for scar size for non-Nocardia ulcers (-0.06 mm, 95% CI, -0.21 to 0.10, P =.46). Conclusions Adjunctive topical corticosteroid therapy may be associated with improved long-term clinical outcomes in bacterial corneal ulcers not caused by Nocardia species. © 2014 BY ELSEVIER INC. ALL RIGHTS RESERVED.","author":[{"dropping-particle":"","family":"Srinivasan","given":"Muthiah","non-dropping-particle":"","parse-names":false,"suffix":""},{"dropping-particle":"","family":"Mascarenhas","given":"Jeena","non-dropping-particle":"","parse-names":false,"suffix":""},{"dropping-particle":"","family":"Rajaraman","given":"Revathi","non-dropping-particle":"","parse-names":false,"suffix":""},{"dropping-particle":"","family":"Ravindran","given":"Meenakshi","non-dropping-particle":"","parse-names":false,"suffix":""},{"dropping-particle":"","family":"Lalitha","given":"Prajna","non-dropping-particle":"","parse-names":false,"suffix":""},{"dropping-particle":"","family":"O'Brien","given":"Kieran S.","non-dropping-particle":"","parse-names":false,"suffix":""},{"dropping-particle":"V.","family":"Glidden","given":"David","non-dropping-particle":"","parse-names":false,"suffix":""},{"dropping-particle":"","family":"Ray","given":"Kathryn J.","non-dropping-particle":"","parse-names":false,"suffix":""},{"dropping-particle":"","family":"Oldenburg","given":"Catherine E.","non-dropping-particle":"","parse-names":false,"suffix":""},{"dropping-particle":"","family":"Zegans","given":"Michael E.","non-dropping-particle":"","parse-names":false,"suffix":""},{"dropping-particle":"","family":"Whitcher","given":"John P.","non-dropping-particle":"","parse-names":false,"suffix":""},{"dropping-particle":"","family":"McLeod","given":"Stephen D.","non-dropping-particle":"","parse-names":false,"suffix":""},{"dropping-particle":"","family":"Porco","given":"Travis C.","non-dropping-particle":"","parse-names":false,"suffix":""},{"dropping-particle":"","family":"Lietman","given":"Thomas M.","non-dropping-particle":"","parse-names":false,"suffix":""},{"dropping-particle":"","family":"Acharya","given":"Nisha R.","non-dropping-particle":"","parse-names":false,"suffix":""}],"container-title":"American Journal of Ophthalmology","id":"ITEM-1","issue":"2","issued":{"date-parts":[["2014"]]},"publisher":"Elsevier Inc.","title":"The steroids for corneal ulcers trial (SCUT): Secondary 12-month clinical outcomes of a randomized controlled trial","type":"article-journal","volume":"157"},"uris":["http://www.mendeley.com/documents/?uuid=ffe44e99-438b-3db2-86e1-2cdf85367c3e"]},{"id":"ITEM-2","itemData":{"DOI":"10.1001/jamaophthalmol.2016.4096","author":[{"dropping-particle":"","family":"Prajna","given":"N. Venkatesh","non-dropping-particle":"","parse-names":false,"suffix":""},{"dropping-particle":"","family":"Krishnan","given":"Tiruvengada","non-dropping-particle":"","parse-names":false,"suffix":""},{"dropping-particle":"","family":"Rajaraman","given":"Revathi","non-dropping-particle":"","parse-names":false,"suffix":""},{"dropping-particle":"","family":"Patel","given":"Sushila","non-dropping-particle":"","parse-names":false,"suffix":""},{"dropping-particle":"","family":"Srinivasan","given":"Muthiah","non-dropping-particle":"","parse-names":false,"suffix":""},{"dropping-particle":"","family":"Das","given":"Manoranjan","non-dropping-particle":"","parse-names":false,"suffix":""},{"dropping-particle":"","family":"Ray","given":"Kathryn J","non-dropping-particle":"","parse-names":false,"suffix":""},{"dropping-particle":"","family":"Brien","given":"Kieran S O","non-dropping-particle":"","parse-names":false,"suffix":""},{"dropping-particle":"","family":"Oldenburg","given":"Catherine E","non-dropping-particle":"","parse-names":false,"suffix":""},{"dropping-particle":"","family":"Mcleod","given":"Stephen D","non-dropping-particle":"","parse-names":false,"suffix":""},{"dropping-particle":"","family":"Zegans","given":"Michael E","non-dropping-particle":"","parse-names":false,"suffix":""},{"dropping-particle":"","family":"Porco","given":"Travis C","non-dropping-particle":"","parse-names":false,"suffix":""},{"dropping-particle":"","family":"Acharya","given":"Nisha R","non-dropping-particle":"","parse-names":false,"suffix":""},{"dropping-particle":"","family":"Lietman","given":"Thomas M","non-dropping-particle":"","parse-names":false,"suffix":""},{"dropping-particle":"","family":"Rose-nussbaumer","given":"Jennifer","non-dropping-particle":"","parse-names":false,"suffix":""}],"container-title":"JAMA Ophthalmology","id":"ITEM-2","issue":"12","issued":{"date-parts":[["2016"]]},"page":"1365-1372","title":"Effect of Oral Voriconazole on Fungal Keratitis in the Mycotic Ulcer Treatment Trial II (MUTT II): A Randomized Clinical Trial","type":"article-journal","volume":"134"},"uris":["http://www.mendeley.com/documents/?uuid=08dafd53-9005-44c6-bc79-f26507e218d0"]},{"id":"ITEM-3","itemData":{"DOI":"10.1016/j.ophtha.2019.03.020","ISSN":"0161-6420","author":[{"dropping-particle":"","family":"Narayana","given":"Shivananda","non-dropping-particle":"","parse-names":false,"suffix":""},{"dropping-particle":"","family":"Krishnan","given":"Tiruvengada","non-dropping-particle":"","parse-names":false,"suffix":""},{"dropping-particle":"","family":"Ramakrishnan","given":"Seema","non-dropping-particle":"","parse-names":false,"suffix":""},{"dropping-particle":"","family":"Samantaray","given":"Puja Prativa","non-dropping-particle":"","parse-names":false,"suffix":""},{"dropping-particle":"","family":"Austin","given":"Ariana","non-dropping-particle":"","parse-names":false,"suffix":""},{"dropping-particle":"","family":"Pickel","given":"Julia","non-dropping-particle":"","parse-names":false,"suffix":""},{"dropping-particle":"","family":"Porco","given":"Travis","non-dropping-particle":"","parse-names":false,"suffix":""},{"dropping-particle":"","family":"Lietman","given":"Tom","non-dropping-particle":"","parse-names":false,"suffix":""},{"dropping-particle":"","family":"Rose-nussbaumer","given":"Jennifer","non-dropping-particle":"","parse-names":false,"suffix":""}],"container-title":"Ophthalmology","id":"ITEM-3","issue":"8","issued":{"date-parts":[["2019"]]},"page":"1084-1089","publisher":"American Academy of Ophthalmology","title":"Mycotic Antimicrobial Localized Injection A Randomized Clinical Trial Evaluating Intrastromal Injection of Voriconazole","type":"article-journal","volume":"126"},"uris":["http://www.mendeley.com/documents/?uuid=95befdbc-1133-4df5-92f4-4701e3df520b"]},{"id":"ITEM-4","itemData":{"DOI":"10.1016/j.ophtha.2019.08.029","ISSN":"15494713","abstract":"Purpose: To determine if there is a benefit to adjuvant corneal crosslinking (CXL) and to compare natamycin versus amphotericin B for filamentous fungal keratitis. Design: Outcome-masked, 2×2 factorial design, randomized controlled clinical trial. Participants: Consecutive patients presenting with moderate vision loss from a smear-positive fungal ulcer at Aravind Eye Hospital, Madurai, India. Methods: Study eyes were randomized to 1 of 4 treatment combinations using an adaptive randomization protocol. The treatment arms included (1) topical natamycin 5% alone, (2) topical natamycin 5% plus CXL, (3) topical amphotericin B 0.15% alone, and (4) topical amphotericin 0.15% plus CXL. Main Outcome Measures: The primary outcome of the trial was microbiological cure at 24 hours on repeat culture. Secondary outcomes included best spectacle-corrected visual acuity (BSCVA) at 3 weeks and 3 months, percentage of study participants with epithelial healing at 3 days, 3 weeks, and 3 months, infiltrate or scar size at 3 weeks and 3 months, 3-day smear and culture, and adverse events. Results: Those randomized to CXL regardless of medication (topical natamycin or amphotericin) had 1.32-fold increased odds of 24-hour culture positivity, although this was not statistically significant (95% confidence interval [CI], 0.57–3.06; P = 0.51). We were also unable to find a difference in 24-hour culture positivity between those randomized to amphotericin and those randomized to natamycin when evaluating as a group regardless of whether or not they received CXL (coefficient 1.10; 95% CI, 0.47–2.54; P = 0.84). The BSCVA was approximately 0.22 logarithm of the minimum angle of resolution (logMAR) (2.2 Snellen lines) worse on average at 3 weeks among those receiving CXL regardless of medication (95% CI, −0.04 to 0.40; P = 0.04) and 0.32 logMAR (3.2 Snellen lines) worse visual acuity at 3 months after controlling for baseline visual acuity (95% CI, 0.03–0.54; P = 0.02). There was no difference in infiltrate or scar size, percentage of epithelialized or adverse events when comparing CXL with no CXL or the 2 topical medications. Conclusions: There appears to be no benefit of adjuvant CXL in the primary treatment of moderate filamentous fungal ulcers, and it may result in decreased visual acuity.","author":[{"dropping-particle":"","family":"Prajna","given":"N. Venkatesh","non-dropping-particle":"","parse-names":false,"suffix":""},{"dropping-particle":"","family":"Radhakrishnan","given":"Naveen","non-dropping-particle":"","parse-names":false,"suffix":""},{"dropping-particle":"","family":"Lalitha","given":"Prajna","non-dropping-particle":"","parse-names":false,"suffix":""},{"dropping-particle":"","family":"Austin","given":"Ariana","non-dropping-particle":"","parse-names":false,"suffix":""},{"dropping-particle":"","family":"Ray","given":"Kathryn J.","non-dropping-particle":"","parse-names":false,"suffix":""},{"dropping-particle":"","family":"Keenan","given":"Jeremy D.","non-dropping-particle":"","parse-names":false,"suffix":""},{"dropping-particle":"","family":"Porco","given":"Travis C.","non-dropping-particle":"","parse-names":false,"suffix":""},{"dropping-particle":"","family":"Lietman","given":"Thomas M.","non-dropping-particle":"","parse-names":false,"suffix":""},{"dropping-particle":"","family":"Rose-Nussbaumer","given":"Jennifer","non-dropping-particle":"","parse-names":false,"suffix":""}],"container-title":"Ophthalmology","id":"ITEM-4","issued":{"date-parts":[["2019","2","1"]]},"publisher":"Elsevier Inc.","title":"Cross-Linking–Assisted Infection Reduction: A Randomized Clinical Trial Evaluating the Effect of Adjuvant Cross-Linking on Outcomes in Fungal Keratitis","type":"article-journal"},"uris":["http://www.mendeley.com/documents/?uuid=f7423e28-27da-3096-9c55-5c1c9095b560"]}],"mendeley":{"formattedCitation":"&lt;sup&gt;5,13–15&lt;/sup&gt;","plainTextFormattedCitation":"5,13–15","previouslyFormattedCitation":"&lt;sup&gt;5,13–15&lt;/sup&gt;"},"properties":{"noteIndex":0},"schema":"https://github.com/citation-style-language/schema/raw/master/csl-citation.json"}</w:instrText>
      </w:r>
      <w:r w:rsidR="00AC5778">
        <w:fldChar w:fldCharType="separate"/>
      </w:r>
      <w:r w:rsidR="00AC5778" w:rsidRPr="00AC5778">
        <w:rPr>
          <w:noProof/>
          <w:vertAlign w:val="superscript"/>
        </w:rPr>
        <w:t>5,13–15</w:t>
      </w:r>
      <w:r w:rsidR="00AC5778">
        <w:fldChar w:fldCharType="end"/>
      </w:r>
      <w:r w:rsidRPr="003B0AB5">
        <w:t xml:space="preserve"> Each corneal ulcer in these trials was proven to be bacterial or fungal based on smear or culture results, and for each subject photographs were taken of the ulcer at initial presentation. This has allowed us to develop a database of 1,2</w:t>
      </w:r>
      <w:r w:rsidR="00AC5778">
        <w:t>04</w:t>
      </w:r>
      <w:r w:rsidRPr="003B0AB5">
        <w:t xml:space="preserve"> cases of culture-positive bacterial or fungal keratitis, each with standardized clinical photographs</w:t>
      </w:r>
      <w:r w:rsidR="00AC5778">
        <w:t>. Herein I describe the use of this database to train and evaluate a convolutional neural network for automated differentiation of bacterial from fungal keratitis based only on corneal imaging.</w:t>
      </w:r>
    </w:p>
    <w:p w14:paraId="0EC8AC4B" w14:textId="77777777" w:rsidR="003B0AB5" w:rsidRPr="003B0AB5" w:rsidRDefault="003B0AB5" w:rsidP="003B0AB5"/>
    <w:p w14:paraId="33F24ED7" w14:textId="7448D005" w:rsidR="003B0AB5" w:rsidRDefault="003B0AB5">
      <w:pPr>
        <w:rPr>
          <w:b/>
          <w:bCs/>
        </w:rPr>
      </w:pPr>
      <w:r>
        <w:rPr>
          <w:b/>
          <w:bCs/>
        </w:rPr>
        <w:t>Methods</w:t>
      </w:r>
    </w:p>
    <w:p w14:paraId="46CAE4CE" w14:textId="07ECC5B7" w:rsidR="003B0AB5" w:rsidRDefault="00CD04CA">
      <w:r>
        <w:t xml:space="preserve">To perform this binary classification objective, I elected to use a convolutional neural network (CNN) because of their demonstrated history of outperforming other models for computer vision applications. </w:t>
      </w:r>
      <w:r w:rsidR="003B0AB5">
        <w:t xml:space="preserve">I constructed a </w:t>
      </w:r>
      <w:r>
        <w:t xml:space="preserve">CNN </w:t>
      </w:r>
      <w:r w:rsidR="003B0AB5">
        <w:t>based on the LeNet architecture described by LeCun et al in 1998.</w:t>
      </w:r>
      <w:r w:rsidR="003B0AB5">
        <w:fldChar w:fldCharType="begin" w:fldLock="1"/>
      </w:r>
      <w:r w:rsidR="0042298F">
        <w:instrText>ADDIN CSL_CITATION {"citationItems":[{"id":"ITEM-1","itemData":{"DOI":"10.1109/5.726791","ISSN":"00189219","abstract":"Multilayer neural networks trained with the back-propagation algorithm constitute the best example of a successful gradient-based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two dimensional (2-D) shapes, are shown to outperform all other techniques. Real-life document recognition systems are composed of multiple modules including field extraction, segmentation, recognition, and language modeling. A new learning paradigm, called graph transformer networks (GTN's),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check is also described. It uses convolutional neural network character recognizers combined with global training techniques to provide record accuracy on business and personal checks. It is deployed commercially and reads several million checks per day. © 1998 IEEE.","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IEEE","id":"ITEM-1","issue":"11","issued":{"date-parts":[["1998"]]},"page":"2278-2323","title":"Gradient-based learning applied to document recognition","type":"article-journal","volume":"86"},"uris":["http://www.mendeley.com/documents/?uuid=b51e7bd0-9231-3b6c-809c-6804f68c68e6"]}],"mendeley":{"formattedCitation":"&lt;sup&gt;16&lt;/sup&gt;","plainTextFormattedCitation":"16","previouslyFormattedCitation":"&lt;sup&gt;16&lt;/sup&gt;"},"properties":{"noteIndex":0},"schema":"https://github.com/citation-style-language/schema/raw/master/csl-citation.json"}</w:instrText>
      </w:r>
      <w:r w:rsidR="003B0AB5">
        <w:fldChar w:fldCharType="separate"/>
      </w:r>
      <w:r w:rsidR="00AC5778" w:rsidRPr="00AC5778">
        <w:rPr>
          <w:noProof/>
          <w:vertAlign w:val="superscript"/>
        </w:rPr>
        <w:t>16</w:t>
      </w:r>
      <w:r w:rsidR="003B0AB5">
        <w:fldChar w:fldCharType="end"/>
      </w:r>
      <w:r w:rsidR="003B0AB5">
        <w:t xml:space="preserve"> This architecture consists of the following layers:</w:t>
      </w:r>
    </w:p>
    <w:p w14:paraId="7FB95B5E" w14:textId="77777777" w:rsidR="0045125C" w:rsidRDefault="0045125C"/>
    <w:p w14:paraId="27A758F5" w14:textId="46AF1DBE" w:rsidR="0045125C" w:rsidRDefault="0045125C" w:rsidP="003B0AB5">
      <w:pPr>
        <w:pStyle w:val="ListParagraph"/>
        <w:numPr>
          <w:ilvl w:val="0"/>
          <w:numId w:val="2"/>
        </w:numPr>
      </w:pPr>
      <w:r>
        <w:t>Preprocessing</w:t>
      </w:r>
    </w:p>
    <w:p w14:paraId="4714DC76" w14:textId="3732444B" w:rsidR="0045125C" w:rsidRDefault="00923139" w:rsidP="0045125C">
      <w:pPr>
        <w:pStyle w:val="ListParagraph"/>
        <w:numPr>
          <w:ilvl w:val="0"/>
          <w:numId w:val="4"/>
        </w:numPr>
      </w:pPr>
      <w:r>
        <w:t>Resize input image to 256x256 pixels</w:t>
      </w:r>
    </w:p>
    <w:p w14:paraId="1E72C671" w14:textId="615CE113" w:rsidR="00923139" w:rsidRDefault="00923139" w:rsidP="0045125C">
      <w:pPr>
        <w:pStyle w:val="ListParagraph"/>
        <w:numPr>
          <w:ilvl w:val="0"/>
          <w:numId w:val="4"/>
        </w:numPr>
      </w:pPr>
      <w:r>
        <w:t xml:space="preserve">Rescale </w:t>
      </w:r>
      <w:r w:rsidR="00265AAA">
        <w:t>pixel values to range from 0 to 1 (by dividing pixel value by 256)</w:t>
      </w:r>
    </w:p>
    <w:p w14:paraId="4EAF82FF" w14:textId="6CE85239" w:rsidR="0053309C" w:rsidRDefault="003B0AB5" w:rsidP="003B0AB5">
      <w:pPr>
        <w:pStyle w:val="ListParagraph"/>
        <w:numPr>
          <w:ilvl w:val="0"/>
          <w:numId w:val="2"/>
        </w:numPr>
      </w:pPr>
      <w:r>
        <w:t>A convolutional layer with pad = 2, stride = 1, and 20 filters</w:t>
      </w:r>
    </w:p>
    <w:p w14:paraId="61115F07" w14:textId="77777777" w:rsidR="0053309C" w:rsidRDefault="0053309C" w:rsidP="003B0AB5">
      <w:pPr>
        <w:pStyle w:val="ListParagraph"/>
        <w:numPr>
          <w:ilvl w:val="0"/>
          <w:numId w:val="2"/>
        </w:numPr>
      </w:pPr>
      <w:r>
        <w:t>A rectified linear unit (ReLU) activation layer</w:t>
      </w:r>
    </w:p>
    <w:p w14:paraId="3730D6D3" w14:textId="77777777" w:rsidR="0053309C" w:rsidRDefault="0053309C" w:rsidP="003B0AB5">
      <w:pPr>
        <w:pStyle w:val="ListParagraph"/>
        <w:numPr>
          <w:ilvl w:val="0"/>
          <w:numId w:val="2"/>
        </w:numPr>
      </w:pPr>
      <w:r>
        <w:t>A max pooling layer with 2x2 filters and a stride of 2</w:t>
      </w:r>
    </w:p>
    <w:p w14:paraId="3071B9F6" w14:textId="77777777" w:rsidR="0053309C" w:rsidRDefault="0053309C" w:rsidP="003B0AB5">
      <w:pPr>
        <w:pStyle w:val="ListParagraph"/>
        <w:numPr>
          <w:ilvl w:val="0"/>
          <w:numId w:val="2"/>
        </w:numPr>
      </w:pPr>
      <w:r>
        <w:t>A second convolutional layer with pad = 2, stride = 1, and 50 filters</w:t>
      </w:r>
    </w:p>
    <w:p w14:paraId="11ED1336" w14:textId="77777777" w:rsidR="0053309C" w:rsidRDefault="0053309C" w:rsidP="003B0AB5">
      <w:pPr>
        <w:pStyle w:val="ListParagraph"/>
        <w:numPr>
          <w:ilvl w:val="0"/>
          <w:numId w:val="2"/>
        </w:numPr>
      </w:pPr>
      <w:r>
        <w:t>A second ReLU activation layer</w:t>
      </w:r>
    </w:p>
    <w:p w14:paraId="5236FED6" w14:textId="77777777" w:rsidR="0053309C" w:rsidRDefault="0053309C" w:rsidP="003B0AB5">
      <w:pPr>
        <w:pStyle w:val="ListParagraph"/>
        <w:numPr>
          <w:ilvl w:val="0"/>
          <w:numId w:val="2"/>
        </w:numPr>
      </w:pPr>
      <w:r>
        <w:t>A second max pooling layer with 2x2 filters and a stride of 2</w:t>
      </w:r>
    </w:p>
    <w:p w14:paraId="286150EB" w14:textId="7C3506F9" w:rsidR="003B0AB5" w:rsidRPr="003B0AB5" w:rsidRDefault="0053309C" w:rsidP="003B0AB5">
      <w:pPr>
        <w:pStyle w:val="ListParagraph"/>
        <w:numPr>
          <w:ilvl w:val="0"/>
          <w:numId w:val="2"/>
        </w:numPr>
      </w:pPr>
      <w:r>
        <w:t>A single densely connected layer with a sigmoid activation function</w:t>
      </w:r>
      <w:r w:rsidR="003B0AB5" w:rsidRPr="003B0AB5">
        <w:t xml:space="preserve"> </w:t>
      </w:r>
    </w:p>
    <w:p w14:paraId="4A02EA01" w14:textId="2BD3EA1D" w:rsidR="003B0AB5" w:rsidRDefault="003B0AB5">
      <w:pPr>
        <w:rPr>
          <w:b/>
          <w:bCs/>
        </w:rPr>
      </w:pPr>
    </w:p>
    <w:p w14:paraId="7BC91833" w14:textId="3DE53674" w:rsidR="00CD04CA" w:rsidRDefault="00043CFA">
      <w:r>
        <w:t>As a result of the sigmoid output function, the model produces an estimated probability that the input image represents a fungal corneal ulcer (and, by extension, the complement of the probability that the image depicts a bacterial corneal ulcer because in this dataset bacterial and fungal infections are mutually exclusive and an exhaustive list of the possible causes of infection).</w:t>
      </w:r>
    </w:p>
    <w:p w14:paraId="1D66CB4C" w14:textId="0B91DD35" w:rsidR="00043CFA" w:rsidRDefault="00043CFA"/>
    <w:p w14:paraId="642D92BB" w14:textId="53711DF1" w:rsidR="00043CFA" w:rsidRDefault="00043CFA" w:rsidP="00043CFA">
      <w:pPr>
        <w:jc w:val="center"/>
      </w:pPr>
      <w:r>
        <w:t>Model output = P(Fungal)</w:t>
      </w:r>
    </w:p>
    <w:p w14:paraId="3596876F" w14:textId="5DF91BEB" w:rsidR="00043CFA" w:rsidRPr="00043CFA" w:rsidRDefault="00043CFA" w:rsidP="00043CFA">
      <w:pPr>
        <w:jc w:val="center"/>
      </w:pPr>
      <w:r>
        <w:t>1 – Model output = P(Bacterial)</w:t>
      </w:r>
    </w:p>
    <w:p w14:paraId="0EAE0583" w14:textId="77777777" w:rsidR="00CD04CA" w:rsidRDefault="00CD04CA">
      <w:pPr>
        <w:rPr>
          <w:b/>
          <w:bCs/>
        </w:rPr>
      </w:pPr>
    </w:p>
    <w:p w14:paraId="7FAF9CB4" w14:textId="65033118" w:rsidR="0045125C" w:rsidRDefault="004D4BF1">
      <w:r>
        <w:t>The image set consisted of 1204 images of culture-proven bacterial and fungal corneal ulcers. These</w:t>
      </w:r>
      <w:r w:rsidR="0045125C">
        <w:t xml:space="preserve"> were randomly split into a training set (80%) and validation set (20%). 10 images obtained at a different center in India were held out as a test set to assess the generalization error of the model. </w:t>
      </w:r>
    </w:p>
    <w:p w14:paraId="33F71B2B" w14:textId="77777777" w:rsidR="0045125C" w:rsidRDefault="0045125C"/>
    <w:p w14:paraId="6842E643" w14:textId="0F1BAE37" w:rsidR="00CD04CA" w:rsidRDefault="00CD04CA">
      <w:r>
        <w:t>The model was trained using TensorFlow in Python 3 using the Adam optimization algorithm, mini-batch size of 64, and 50 epochs. The resulting weights (a total of 204,801 trained parameters) were stored for future use in the hand-built model.</w:t>
      </w:r>
    </w:p>
    <w:p w14:paraId="1E818297" w14:textId="697B8C15" w:rsidR="00CD04CA" w:rsidRDefault="00CD04CA"/>
    <w:p w14:paraId="146F520E" w14:textId="17B84B1A" w:rsidR="0045125C" w:rsidRDefault="00CD04CA">
      <w:r>
        <w:t>I then constructed each of the layers of the forward pass of the LeNet model from scratch using Python and pulled the weights from the previously</w:t>
      </w:r>
      <w:r w:rsidR="0045125C">
        <w:t xml:space="preserve"> </w:t>
      </w:r>
      <w:r>
        <w:t xml:space="preserve">trained TensorFlow model to be applied to this hand-built model. </w:t>
      </w:r>
      <w:r w:rsidR="0045125C">
        <w:t>These helper functions included:</w:t>
      </w:r>
    </w:p>
    <w:p w14:paraId="1425E1AA" w14:textId="77777777" w:rsidR="004D4BF1" w:rsidRDefault="004D4BF1"/>
    <w:p w14:paraId="7A0D6DA1" w14:textId="31859520" w:rsidR="00970F6F" w:rsidRDefault="0045125C" w:rsidP="0045125C">
      <w:pPr>
        <w:pStyle w:val="ListParagraph"/>
        <w:numPr>
          <w:ilvl w:val="0"/>
          <w:numId w:val="5"/>
        </w:numPr>
      </w:pPr>
      <w:r>
        <w:t xml:space="preserve">A </w:t>
      </w:r>
      <w:r w:rsidR="00970F6F">
        <w:t>zero-</w:t>
      </w:r>
      <w:r>
        <w:t>padding function</w:t>
      </w:r>
      <w:r w:rsidR="00970F6F">
        <w:t>:</w:t>
      </w:r>
    </w:p>
    <w:p w14:paraId="2401CFB7" w14:textId="3B9FC1D8" w:rsidR="00970F6F" w:rsidRDefault="00970F6F" w:rsidP="00970F6F">
      <w:pPr>
        <w:pStyle w:val="ListParagraph"/>
        <w:numPr>
          <w:ilvl w:val="0"/>
          <w:numId w:val="7"/>
        </w:numPr>
      </w:pPr>
      <w:r>
        <w:t>Input: A 3D matrix of any size (height x width x # channels)</w:t>
      </w:r>
    </w:p>
    <w:p w14:paraId="0CC33FE9" w14:textId="12215255" w:rsidR="00970F6F" w:rsidRDefault="00970F6F" w:rsidP="00970F6F">
      <w:pPr>
        <w:pStyle w:val="ListParagraph"/>
        <w:numPr>
          <w:ilvl w:val="0"/>
          <w:numId w:val="7"/>
        </w:numPr>
      </w:pPr>
      <w:r>
        <w:t>Arguments: amount of zero-padding desired</w:t>
      </w:r>
    </w:p>
    <w:p w14:paraId="236034D0" w14:textId="1E4B8A6A" w:rsidR="00970F6F" w:rsidRDefault="00970F6F" w:rsidP="00970F6F">
      <w:pPr>
        <w:pStyle w:val="ListParagraph"/>
        <w:numPr>
          <w:ilvl w:val="0"/>
          <w:numId w:val="7"/>
        </w:numPr>
      </w:pPr>
      <w:r>
        <w:t>Output: A zero-padded matrix</w:t>
      </w:r>
    </w:p>
    <w:p w14:paraId="3B76DC49" w14:textId="6120C852" w:rsidR="00970F6F" w:rsidRDefault="00970F6F" w:rsidP="008539ED">
      <w:pPr>
        <w:pStyle w:val="ListParagraph"/>
        <w:numPr>
          <w:ilvl w:val="0"/>
          <w:numId w:val="5"/>
        </w:numPr>
      </w:pPr>
      <w:r>
        <w:lastRenderedPageBreak/>
        <w:t>A convolution function:</w:t>
      </w:r>
    </w:p>
    <w:p w14:paraId="41B1CD34" w14:textId="3E60F896" w:rsidR="00970F6F" w:rsidRDefault="00970F6F" w:rsidP="00970F6F">
      <w:pPr>
        <w:pStyle w:val="ListParagraph"/>
        <w:numPr>
          <w:ilvl w:val="0"/>
          <w:numId w:val="8"/>
        </w:numPr>
      </w:pPr>
      <w:r>
        <w:t>Input: A 3D matrix of any size</w:t>
      </w:r>
    </w:p>
    <w:p w14:paraId="00DD0979" w14:textId="28FBEDEC" w:rsidR="00970F6F" w:rsidRDefault="00970F6F" w:rsidP="00970F6F">
      <w:pPr>
        <w:pStyle w:val="ListParagraph"/>
        <w:numPr>
          <w:ilvl w:val="0"/>
          <w:numId w:val="8"/>
        </w:numPr>
      </w:pPr>
      <w:r>
        <w:t>Arguments: A 4D matrix of weights, desired stride, desired padding, and the number of filters to be applied</w:t>
      </w:r>
    </w:p>
    <w:p w14:paraId="38770305" w14:textId="34771F1C" w:rsidR="00970F6F" w:rsidRDefault="00970F6F" w:rsidP="00970F6F">
      <w:pPr>
        <w:pStyle w:val="ListParagraph"/>
        <w:numPr>
          <w:ilvl w:val="0"/>
          <w:numId w:val="8"/>
        </w:numPr>
      </w:pPr>
      <w:r>
        <w:t>Output: A convolved 3D matrix</w:t>
      </w:r>
    </w:p>
    <w:p w14:paraId="63FC4D2F" w14:textId="0CB17B6F" w:rsidR="00970F6F" w:rsidRDefault="00970F6F" w:rsidP="008539ED">
      <w:pPr>
        <w:pStyle w:val="ListParagraph"/>
        <w:numPr>
          <w:ilvl w:val="0"/>
          <w:numId w:val="5"/>
        </w:numPr>
      </w:pPr>
      <w:r>
        <w:t xml:space="preserve">A </w:t>
      </w:r>
      <w:r w:rsidR="004D4BF1">
        <w:t xml:space="preserve">max </w:t>
      </w:r>
      <w:r>
        <w:t>pooling function:</w:t>
      </w:r>
    </w:p>
    <w:p w14:paraId="3D06710A" w14:textId="460166F8" w:rsidR="00970F6F" w:rsidRDefault="00970F6F" w:rsidP="00970F6F">
      <w:pPr>
        <w:pStyle w:val="ListParagraph"/>
        <w:numPr>
          <w:ilvl w:val="0"/>
          <w:numId w:val="9"/>
        </w:numPr>
      </w:pPr>
      <w:r>
        <w:t xml:space="preserve">Input: </w:t>
      </w:r>
      <w:r w:rsidR="004D4BF1">
        <w:t>A 3D matrix of any size</w:t>
      </w:r>
    </w:p>
    <w:p w14:paraId="3ED821D1" w14:textId="6DFB020F" w:rsidR="004D4BF1" w:rsidRDefault="004D4BF1" w:rsidP="00970F6F">
      <w:pPr>
        <w:pStyle w:val="ListParagraph"/>
        <w:numPr>
          <w:ilvl w:val="0"/>
          <w:numId w:val="9"/>
        </w:numPr>
      </w:pPr>
      <w:r>
        <w:t>Arguments: The desired filter size and stride length</w:t>
      </w:r>
    </w:p>
    <w:p w14:paraId="518AE712" w14:textId="22715182" w:rsidR="004D4BF1" w:rsidRDefault="004D4BF1" w:rsidP="00970F6F">
      <w:pPr>
        <w:pStyle w:val="ListParagraph"/>
        <w:numPr>
          <w:ilvl w:val="0"/>
          <w:numId w:val="9"/>
        </w:numPr>
      </w:pPr>
      <w:r>
        <w:t>Output: A pooled matrix</w:t>
      </w:r>
    </w:p>
    <w:p w14:paraId="30A78A83" w14:textId="70509B53" w:rsidR="00970F6F" w:rsidRDefault="00970F6F" w:rsidP="008539ED">
      <w:pPr>
        <w:pStyle w:val="ListParagraph"/>
        <w:numPr>
          <w:ilvl w:val="0"/>
          <w:numId w:val="5"/>
        </w:numPr>
      </w:pPr>
      <w:r>
        <w:t>A ReLu function:</w:t>
      </w:r>
    </w:p>
    <w:p w14:paraId="5F63BAB5" w14:textId="3D10A1B4" w:rsidR="004D4BF1" w:rsidRDefault="004D4BF1" w:rsidP="004D4BF1">
      <w:pPr>
        <w:pStyle w:val="ListParagraph"/>
        <w:numPr>
          <w:ilvl w:val="0"/>
          <w:numId w:val="10"/>
        </w:numPr>
      </w:pPr>
      <w:r>
        <w:t>Input: A numpy array of any size</w:t>
      </w:r>
    </w:p>
    <w:p w14:paraId="421848F6" w14:textId="7A423DC7" w:rsidR="004D4BF1" w:rsidRDefault="004D4BF1" w:rsidP="004D4BF1">
      <w:pPr>
        <w:pStyle w:val="ListParagraph"/>
        <w:numPr>
          <w:ilvl w:val="0"/>
          <w:numId w:val="10"/>
        </w:numPr>
      </w:pPr>
      <w:r>
        <w:t>Output: A numpy array of the same size as the input</w:t>
      </w:r>
    </w:p>
    <w:p w14:paraId="3E3E9E09" w14:textId="5A48FD38" w:rsidR="00970F6F" w:rsidRDefault="00970F6F" w:rsidP="008539ED">
      <w:pPr>
        <w:pStyle w:val="ListParagraph"/>
        <w:numPr>
          <w:ilvl w:val="0"/>
          <w:numId w:val="5"/>
        </w:numPr>
      </w:pPr>
      <w:r>
        <w:t>And a sigmoid function:</w:t>
      </w:r>
    </w:p>
    <w:p w14:paraId="3D2725FC" w14:textId="702FCC0F" w:rsidR="004D4BF1" w:rsidRDefault="004D4BF1" w:rsidP="004D4BF1">
      <w:pPr>
        <w:pStyle w:val="ListParagraph"/>
        <w:numPr>
          <w:ilvl w:val="0"/>
          <w:numId w:val="11"/>
        </w:numPr>
      </w:pPr>
      <w:r>
        <w:t>Input: A scalar</w:t>
      </w:r>
    </w:p>
    <w:p w14:paraId="74B45415" w14:textId="75447DED" w:rsidR="004D4BF1" w:rsidRDefault="004D4BF1" w:rsidP="004D4BF1">
      <w:pPr>
        <w:pStyle w:val="ListParagraph"/>
        <w:numPr>
          <w:ilvl w:val="0"/>
          <w:numId w:val="11"/>
        </w:numPr>
      </w:pPr>
      <w:r>
        <w:t>Output: A scalar ranging from 0 to 1</w:t>
      </w:r>
    </w:p>
    <w:p w14:paraId="16034D47" w14:textId="77777777" w:rsidR="004D4BF1" w:rsidRDefault="004D4BF1"/>
    <w:p w14:paraId="43B9E86E" w14:textId="21346CCE" w:rsidR="00CD04CA" w:rsidRPr="00CD04CA" w:rsidRDefault="0045125C">
      <w:r>
        <w:t>The resulting model is available as LeNet_model_script.py</w:t>
      </w:r>
      <w:r w:rsidR="004D4BF1">
        <w:t>, and the Jupyter Notebook containing the source code for all model development steps is available as  ConvNet.html.</w:t>
      </w:r>
      <w:r>
        <w:t xml:space="preserve"> </w:t>
      </w:r>
      <w:r w:rsidR="004D4BF1">
        <w:t>The final</w:t>
      </w:r>
      <w:r>
        <w:t xml:space="preserve"> model takes an image of any size as input and returns a prediction for the cause of the corneal ulcer (either bacterial or fungal) as well as the estimated probability of this prediction. </w:t>
      </w:r>
      <w:r w:rsidR="004D4BF1">
        <w:t xml:space="preserve">Also included in this submission are the 10 images comprising the hold-out testing set (5 bacterial and 5 fungal images) </w:t>
      </w:r>
      <w:r w:rsidR="009A35EE">
        <w:t>and a Python pickle object containing a dictionary of all weights employed by the model.</w:t>
      </w:r>
    </w:p>
    <w:p w14:paraId="35BE9BC9" w14:textId="77777777" w:rsidR="00CD04CA" w:rsidRDefault="00CD04CA">
      <w:pPr>
        <w:rPr>
          <w:b/>
          <w:bCs/>
        </w:rPr>
      </w:pPr>
    </w:p>
    <w:p w14:paraId="1AFD765A" w14:textId="729E1A33" w:rsidR="003B0AB5" w:rsidRDefault="003B0AB5">
      <w:pPr>
        <w:rPr>
          <w:b/>
          <w:bCs/>
        </w:rPr>
      </w:pPr>
      <w:r>
        <w:rPr>
          <w:b/>
          <w:bCs/>
        </w:rPr>
        <w:t>Results</w:t>
      </w:r>
    </w:p>
    <w:p w14:paraId="365FFEE7" w14:textId="77C1037F" w:rsidR="003B0AB5" w:rsidRDefault="004D4BF1">
      <w:pPr>
        <w:rPr>
          <w:b/>
          <w:bCs/>
        </w:rPr>
      </w:pPr>
      <w:r w:rsidRPr="004D4BF1">
        <w:rPr>
          <w:b/>
          <w:bCs/>
        </w:rPr>
        <w:lastRenderedPageBreak/>
        <w:drawing>
          <wp:inline distT="0" distB="0" distL="0" distR="0" wp14:anchorId="797F8BDF" wp14:editId="5A2740B6">
            <wp:extent cx="5943600" cy="4094480"/>
            <wp:effectExtent l="0" t="0" r="0" b="0"/>
            <wp:docPr id="2050" name="Picture 2">
              <a:extLst xmlns:a="http://schemas.openxmlformats.org/drawingml/2006/main">
                <a:ext uri="{FF2B5EF4-FFF2-40B4-BE49-F238E27FC236}">
                  <a16:creationId xmlns:a16="http://schemas.microsoft.com/office/drawing/2014/main" id="{1AA3FB3D-974C-6D4C-BBDA-4F149C48DA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1AA3FB3D-974C-6D4C-BBDA-4F149C48DA5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4480"/>
                    </a:xfrm>
                    <a:prstGeom prst="rect">
                      <a:avLst/>
                    </a:prstGeom>
                    <a:noFill/>
                  </pic:spPr>
                </pic:pic>
              </a:graphicData>
            </a:graphic>
          </wp:inline>
        </w:drawing>
      </w:r>
    </w:p>
    <w:p w14:paraId="42B004E4" w14:textId="121D780A" w:rsidR="004D4BF1" w:rsidRDefault="004D4BF1">
      <w:pPr>
        <w:rPr>
          <w:b/>
          <w:bCs/>
        </w:rPr>
      </w:pPr>
      <w:r w:rsidRPr="004D4BF1">
        <w:rPr>
          <w:b/>
          <w:bCs/>
        </w:rPr>
        <w:drawing>
          <wp:inline distT="0" distB="0" distL="0" distR="0" wp14:anchorId="0F92DCB8" wp14:editId="0E0A1846">
            <wp:extent cx="5943600" cy="4094480"/>
            <wp:effectExtent l="0" t="0" r="0" b="0"/>
            <wp:docPr id="3074" name="Picture 2">
              <a:extLst xmlns:a="http://schemas.openxmlformats.org/drawingml/2006/main">
                <a:ext uri="{FF2B5EF4-FFF2-40B4-BE49-F238E27FC236}">
                  <a16:creationId xmlns:a16="http://schemas.microsoft.com/office/drawing/2014/main" id="{18A99029-F47B-5440-A64B-E01DCF35FF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18A99029-F47B-5440-A64B-E01DCF35FF9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4480"/>
                    </a:xfrm>
                    <a:prstGeom prst="rect">
                      <a:avLst/>
                    </a:prstGeom>
                    <a:noFill/>
                  </pic:spPr>
                </pic:pic>
              </a:graphicData>
            </a:graphic>
          </wp:inline>
        </w:drawing>
      </w:r>
    </w:p>
    <w:p w14:paraId="7402D5E0" w14:textId="624D8C63" w:rsidR="00CD04CA" w:rsidRPr="00774648" w:rsidRDefault="00774648">
      <w:r>
        <w:lastRenderedPageBreak/>
        <w:t xml:space="preserve">As can be seen from the plots above, the model reached peak accuracy and AUROC after approximately 20 epochs of training. The model achieved perfect accuracy and AUROC on the training set, and an AUROC of 0.8 on the validation set, indicating a moderate amount of overfitting. However, the generalizability of the model remained good based on examination of the results on the hold-out test set, where the model was correct in 9 out of 10 cases. However, this is a small sample </w:t>
      </w:r>
      <w:r w:rsidR="00AC5778">
        <w:t>size,</w:t>
      </w:r>
      <w:r>
        <w:t xml:space="preserve"> and the true generalizability will require additional investigation. </w:t>
      </w:r>
    </w:p>
    <w:p w14:paraId="138A7730" w14:textId="77777777" w:rsidR="00774648" w:rsidRDefault="00774648">
      <w:pPr>
        <w:rPr>
          <w:b/>
          <w:bCs/>
        </w:rPr>
      </w:pPr>
    </w:p>
    <w:p w14:paraId="191ECB57" w14:textId="004D3A72" w:rsidR="003B0AB5" w:rsidRDefault="003B0AB5">
      <w:pPr>
        <w:rPr>
          <w:b/>
          <w:bCs/>
        </w:rPr>
      </w:pPr>
      <w:r>
        <w:rPr>
          <w:b/>
          <w:bCs/>
        </w:rPr>
        <w:t>Discussion</w:t>
      </w:r>
    </w:p>
    <w:p w14:paraId="2DC7C516" w14:textId="63E0B422" w:rsidR="003B0AB5" w:rsidRDefault="003B0AB5">
      <w:pPr>
        <w:rPr>
          <w:b/>
          <w:bCs/>
        </w:rPr>
      </w:pPr>
    </w:p>
    <w:p w14:paraId="6F867EA3" w14:textId="32733504" w:rsidR="003B0AB5" w:rsidRDefault="003B0AB5" w:rsidP="004B3FA2">
      <w:r w:rsidRPr="003B0AB5">
        <w:t xml:space="preserve">Image-based diagnosis has become integral to the practice of modern ophthalmology, and machine learning is rapidly changing this landscape for many ophthalmic diseases. The </w:t>
      </w:r>
      <w:r w:rsidR="00AC5778">
        <w:t>project described herein</w:t>
      </w:r>
      <w:r w:rsidR="004B3FA2">
        <w:t xml:space="preserve"> </w:t>
      </w:r>
      <w:r w:rsidRPr="003B0AB5">
        <w:t>develop</w:t>
      </w:r>
      <w:r w:rsidR="004B3FA2">
        <w:t>s</w:t>
      </w:r>
      <w:r w:rsidRPr="003B0AB5">
        <w:t xml:space="preserve"> and evaluate</w:t>
      </w:r>
      <w:r w:rsidR="004B3FA2">
        <w:t>s</w:t>
      </w:r>
      <w:r w:rsidRPr="003B0AB5">
        <w:t xml:space="preserve"> </w:t>
      </w:r>
      <w:r w:rsidR="004B3FA2">
        <w:t xml:space="preserve">a </w:t>
      </w:r>
      <w:r w:rsidRPr="003B0AB5">
        <w:t xml:space="preserve">novel </w:t>
      </w:r>
      <w:r w:rsidR="004B3FA2">
        <w:t>convolutional neural network, which may</w:t>
      </w:r>
      <w:r w:rsidRPr="003B0AB5">
        <w:t xml:space="preserve"> improve the diagnostic evaluation of infectious keratitis. </w:t>
      </w:r>
      <w:r w:rsidR="00B235DA">
        <w:t xml:space="preserve">The model performed better than expected for this binary classification task, particularly considering that the model architecture is relatively simple compared to newer CNNs such as Resnet, VGG, etc. In fact, its performance is similar or superior to human performance in this same task. </w:t>
      </w:r>
      <w:r w:rsidR="0042298F">
        <w:t>This demonstrates there is potential for a computer vision application to this classification problem. Moving forward I intend to apply a transfer learning approach using a more complex, modern CNN architecture pre-trained on ImageNet to attempt to further improve model accuracy. I also intend to collect a larger external testing set to better evaluate the generalizability of these models, and later develop a multi-class prediction model that can predict any type of corneal infection.</w:t>
      </w:r>
    </w:p>
    <w:p w14:paraId="08C59D38" w14:textId="202D1AC1" w:rsidR="0042298F" w:rsidRDefault="0042298F" w:rsidP="004B3FA2"/>
    <w:p w14:paraId="7D68146F" w14:textId="0C3C8C9B" w:rsidR="0042298F" w:rsidRDefault="0042298F" w:rsidP="004B3FA2">
      <w:pPr>
        <w:rPr>
          <w:b/>
          <w:bCs/>
        </w:rPr>
      </w:pPr>
      <w:r>
        <w:rPr>
          <w:b/>
          <w:bCs/>
        </w:rPr>
        <w:t>References</w:t>
      </w:r>
    </w:p>
    <w:p w14:paraId="6B139359" w14:textId="1BB77B97" w:rsidR="0042298F" w:rsidRPr="0042298F" w:rsidRDefault="0042298F" w:rsidP="0042298F">
      <w:pPr>
        <w:widowControl w:val="0"/>
        <w:autoSpaceDE w:val="0"/>
        <w:autoSpaceDN w:val="0"/>
        <w:adjustRightInd w:val="0"/>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Pr="0042298F">
        <w:rPr>
          <w:rFonts w:ascii="Calibri" w:hAnsi="Calibri" w:cs="Calibri"/>
          <w:noProof/>
        </w:rPr>
        <w:t xml:space="preserve">1. </w:t>
      </w:r>
      <w:r w:rsidRPr="0042298F">
        <w:rPr>
          <w:rFonts w:ascii="Calibri" w:hAnsi="Calibri" w:cs="Calibri"/>
          <w:noProof/>
        </w:rPr>
        <w:tab/>
        <w:t xml:space="preserve">Flaxman SR, Bourne RRA, Resnikoff S, et al. Global causes of blindness and distance vision impairment 1990–2020: a systematic review and meta-analysis. </w:t>
      </w:r>
      <w:r w:rsidRPr="0042298F">
        <w:rPr>
          <w:rFonts w:ascii="Calibri" w:hAnsi="Calibri" w:cs="Calibri"/>
          <w:i/>
          <w:iCs/>
          <w:noProof/>
        </w:rPr>
        <w:t>Lancet Glob Heal</w:t>
      </w:r>
      <w:r w:rsidRPr="0042298F">
        <w:rPr>
          <w:rFonts w:ascii="Calibri" w:hAnsi="Calibri" w:cs="Calibri"/>
          <w:noProof/>
        </w:rPr>
        <w:t>. 2017;5(12):e1221-e1234. doi:10.1016/S2214-109X(17)30393-5</w:t>
      </w:r>
    </w:p>
    <w:p w14:paraId="6908BEE2"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2. </w:t>
      </w:r>
      <w:r w:rsidRPr="0042298F">
        <w:rPr>
          <w:rFonts w:ascii="Calibri" w:hAnsi="Calibri" w:cs="Calibri"/>
          <w:noProof/>
        </w:rPr>
        <w:tab/>
        <w:t xml:space="preserve">Whitcher JP, Srinivasan M, Upadhyay MP. Corneal blindness : a global perspective. </w:t>
      </w:r>
      <w:r w:rsidRPr="0042298F">
        <w:rPr>
          <w:rFonts w:ascii="Calibri" w:hAnsi="Calibri" w:cs="Calibri"/>
          <w:i/>
          <w:iCs/>
          <w:noProof/>
        </w:rPr>
        <w:t>Bull World Heal Organ</w:t>
      </w:r>
      <w:r w:rsidRPr="0042298F">
        <w:rPr>
          <w:rFonts w:ascii="Calibri" w:hAnsi="Calibri" w:cs="Calibri"/>
          <w:noProof/>
        </w:rPr>
        <w:t>. 2001;79:214-221.</w:t>
      </w:r>
    </w:p>
    <w:p w14:paraId="0F8FC031"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3. </w:t>
      </w:r>
      <w:r w:rsidRPr="0042298F">
        <w:rPr>
          <w:rFonts w:ascii="Calibri" w:hAnsi="Calibri" w:cs="Calibri"/>
          <w:noProof/>
        </w:rPr>
        <w:tab/>
        <w:t xml:space="preserve">Pascolini D, Mariotti SP. Global estimates of visual impairment: 2010. </w:t>
      </w:r>
      <w:r w:rsidRPr="0042298F">
        <w:rPr>
          <w:rFonts w:ascii="Calibri" w:hAnsi="Calibri" w:cs="Calibri"/>
          <w:i/>
          <w:iCs/>
          <w:noProof/>
        </w:rPr>
        <w:t>Br J Ophthalmol</w:t>
      </w:r>
      <w:r w:rsidRPr="0042298F">
        <w:rPr>
          <w:rFonts w:ascii="Calibri" w:hAnsi="Calibri" w:cs="Calibri"/>
          <w:noProof/>
        </w:rPr>
        <w:t>. 2012;96(5):614-618. doi:10.1136/bjophthalmol-2011-300539</w:t>
      </w:r>
    </w:p>
    <w:p w14:paraId="18CCD458"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4. </w:t>
      </w:r>
      <w:r w:rsidRPr="0042298F">
        <w:rPr>
          <w:rFonts w:ascii="Calibri" w:hAnsi="Calibri" w:cs="Calibri"/>
          <w:noProof/>
        </w:rPr>
        <w:tab/>
        <w:t>Ung L, Acharya NR, Agarwal T, et al. Infectious corneal ulceration : a proposal for neglected tropical disease status. 2019;(March):854-856.</w:t>
      </w:r>
    </w:p>
    <w:p w14:paraId="04FB04D2"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5. </w:t>
      </w:r>
      <w:r w:rsidRPr="0042298F">
        <w:rPr>
          <w:rFonts w:ascii="Calibri" w:hAnsi="Calibri" w:cs="Calibri"/>
          <w:noProof/>
        </w:rPr>
        <w:tab/>
        <w:t xml:space="preserve">Srinivasan M, Mascarenhas J, Rajaraman R, et al. The steroids for corneal ulcers trial (SCUT): Secondary 12-month clinical outcomes of a randomized controlled trial. </w:t>
      </w:r>
      <w:r w:rsidRPr="0042298F">
        <w:rPr>
          <w:rFonts w:ascii="Calibri" w:hAnsi="Calibri" w:cs="Calibri"/>
          <w:i/>
          <w:iCs/>
          <w:noProof/>
        </w:rPr>
        <w:t>Am J Ophthalmol</w:t>
      </w:r>
      <w:r w:rsidRPr="0042298F">
        <w:rPr>
          <w:rFonts w:ascii="Calibri" w:hAnsi="Calibri" w:cs="Calibri"/>
          <w:noProof/>
        </w:rPr>
        <w:t>. 2014;157(2). doi:10.1016/j.ajo.2013.09.025</w:t>
      </w:r>
    </w:p>
    <w:p w14:paraId="2CF49F64"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6. </w:t>
      </w:r>
      <w:r w:rsidRPr="0042298F">
        <w:rPr>
          <w:rFonts w:ascii="Calibri" w:hAnsi="Calibri" w:cs="Calibri"/>
          <w:noProof/>
        </w:rPr>
        <w:tab/>
        <w:t xml:space="preserve">Pineda R, Dohlman CH. The role of steroids in the management of Acanthamoeba keratitis, fungal keratitis, and epidemic keratoconjunctivitis. </w:t>
      </w:r>
      <w:r w:rsidRPr="0042298F">
        <w:rPr>
          <w:rFonts w:ascii="Calibri" w:hAnsi="Calibri" w:cs="Calibri"/>
          <w:i/>
          <w:iCs/>
          <w:noProof/>
        </w:rPr>
        <w:t>Int Ophthalmol Clin</w:t>
      </w:r>
      <w:r w:rsidRPr="0042298F">
        <w:rPr>
          <w:rFonts w:ascii="Calibri" w:hAnsi="Calibri" w:cs="Calibri"/>
          <w:noProof/>
        </w:rPr>
        <w:t>. 1994;34(3):19-31. doi:10.1097/00004397-199403430-00005</w:t>
      </w:r>
    </w:p>
    <w:p w14:paraId="3F939486"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7. </w:t>
      </w:r>
      <w:r w:rsidRPr="0042298F">
        <w:rPr>
          <w:rFonts w:ascii="Calibri" w:hAnsi="Calibri" w:cs="Calibri"/>
          <w:noProof/>
        </w:rPr>
        <w:tab/>
        <w:t xml:space="preserve">Prajna NV, Krishnan T, Mascarenhas J, et al. The Mycotic Ulcer Treatment Trial. </w:t>
      </w:r>
      <w:r w:rsidRPr="0042298F">
        <w:rPr>
          <w:rFonts w:ascii="Calibri" w:hAnsi="Calibri" w:cs="Calibri"/>
          <w:i/>
          <w:iCs/>
          <w:noProof/>
        </w:rPr>
        <w:t>JAMA Ophthalmol</w:t>
      </w:r>
      <w:r w:rsidRPr="0042298F">
        <w:rPr>
          <w:rFonts w:ascii="Calibri" w:hAnsi="Calibri" w:cs="Calibri"/>
          <w:noProof/>
        </w:rPr>
        <w:t>. 2013;131(4):422. doi:10.1001/jamaophthalmol.2013.1497</w:t>
      </w:r>
    </w:p>
    <w:p w14:paraId="1BB5A050"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8. </w:t>
      </w:r>
      <w:r w:rsidRPr="0042298F">
        <w:rPr>
          <w:rFonts w:ascii="Calibri" w:hAnsi="Calibri" w:cs="Calibri"/>
          <w:noProof/>
        </w:rPr>
        <w:tab/>
        <w:t xml:space="preserve">McLeod SD, Kumar A, Cevallos V, Srinivasan M, Whitcher JP. Reliability of transport medium in the laboratory evaluation of corneal ulcers. </w:t>
      </w:r>
      <w:r w:rsidRPr="0042298F">
        <w:rPr>
          <w:rFonts w:ascii="Calibri" w:hAnsi="Calibri" w:cs="Calibri"/>
          <w:i/>
          <w:iCs/>
          <w:noProof/>
        </w:rPr>
        <w:t>Am J Ophthalmol</w:t>
      </w:r>
      <w:r w:rsidRPr="0042298F">
        <w:rPr>
          <w:rFonts w:ascii="Calibri" w:hAnsi="Calibri" w:cs="Calibri"/>
          <w:noProof/>
        </w:rPr>
        <w:t>. 2005;140(6). doi:10.1016/j.ajo.2005.06.042</w:t>
      </w:r>
    </w:p>
    <w:p w14:paraId="21D3E96B"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9. </w:t>
      </w:r>
      <w:r w:rsidRPr="0042298F">
        <w:rPr>
          <w:rFonts w:ascii="Calibri" w:hAnsi="Calibri" w:cs="Calibri"/>
          <w:noProof/>
        </w:rPr>
        <w:tab/>
        <w:t xml:space="preserve">Varaprasathan G, Miller K, Lietman T, et al. Trends in the Etiology of Infectious Corneal </w:t>
      </w:r>
      <w:r w:rsidRPr="0042298F">
        <w:rPr>
          <w:rFonts w:ascii="Calibri" w:hAnsi="Calibri" w:cs="Calibri"/>
          <w:noProof/>
        </w:rPr>
        <w:lastRenderedPageBreak/>
        <w:t xml:space="preserve">Ulcers at the F. I. Proctor Foundation. </w:t>
      </w:r>
      <w:r w:rsidRPr="0042298F">
        <w:rPr>
          <w:rFonts w:ascii="Calibri" w:hAnsi="Calibri" w:cs="Calibri"/>
          <w:i/>
          <w:iCs/>
          <w:noProof/>
        </w:rPr>
        <w:t>Cornea</w:t>
      </w:r>
      <w:r w:rsidRPr="0042298F">
        <w:rPr>
          <w:rFonts w:ascii="Calibri" w:hAnsi="Calibri" w:cs="Calibri"/>
          <w:noProof/>
        </w:rPr>
        <w:t>. 2004;23(4):360-364. doi:10.1097/00003226-200405000-00009</w:t>
      </w:r>
    </w:p>
    <w:p w14:paraId="59AE64DE"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10. </w:t>
      </w:r>
      <w:r w:rsidRPr="0042298F">
        <w:rPr>
          <w:rFonts w:ascii="Calibri" w:hAnsi="Calibri" w:cs="Calibri"/>
          <w:noProof/>
        </w:rPr>
        <w:tab/>
        <w:t xml:space="preserve">Dalmon C, Porco TC, Lietman TM, et al. The clinical differentiation of bacterial and fungal keratitis: a photographic survey. </w:t>
      </w:r>
      <w:r w:rsidRPr="0042298F">
        <w:rPr>
          <w:rFonts w:ascii="Calibri" w:hAnsi="Calibri" w:cs="Calibri"/>
          <w:i/>
          <w:iCs/>
          <w:noProof/>
        </w:rPr>
        <w:t>Invest Ophthalmol Vis Sci</w:t>
      </w:r>
      <w:r w:rsidRPr="0042298F">
        <w:rPr>
          <w:rFonts w:ascii="Calibri" w:hAnsi="Calibri" w:cs="Calibri"/>
          <w:noProof/>
        </w:rPr>
        <w:t>. 2012;53(4):1787-1791. doi:10.1167/iovs.11-8478</w:t>
      </w:r>
    </w:p>
    <w:p w14:paraId="12607EEE"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11. </w:t>
      </w:r>
      <w:r w:rsidRPr="0042298F">
        <w:rPr>
          <w:rFonts w:ascii="Calibri" w:hAnsi="Calibri" w:cs="Calibri"/>
          <w:noProof/>
        </w:rPr>
        <w:tab/>
        <w:t xml:space="preserve">Rosa RH, Miller D, Alfonso EC. </w:t>
      </w:r>
      <w:r w:rsidRPr="0042298F">
        <w:rPr>
          <w:rFonts w:ascii="Calibri" w:hAnsi="Calibri" w:cs="Calibri"/>
          <w:i/>
          <w:iCs/>
          <w:noProof/>
        </w:rPr>
        <w:t>The Changing Spectrum of Fungal Keratitis in South Florida</w:t>
      </w:r>
      <w:r w:rsidRPr="0042298F">
        <w:rPr>
          <w:rFonts w:ascii="Calibri" w:hAnsi="Calibri" w:cs="Calibri"/>
          <w:noProof/>
        </w:rPr>
        <w:t>. Vol 101.; 1994. doi:10.1016/S0161-6420(94)31225-5</w:t>
      </w:r>
    </w:p>
    <w:p w14:paraId="1AF2219E"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12. </w:t>
      </w:r>
      <w:r w:rsidRPr="0042298F">
        <w:rPr>
          <w:rFonts w:ascii="Calibri" w:hAnsi="Calibri" w:cs="Calibri"/>
          <w:noProof/>
        </w:rPr>
        <w:tab/>
        <w:t xml:space="preserve">Dahlgren MA, Lingappan A, Wilhelmus KR. The clinical diagnosis of microbial keratitis. </w:t>
      </w:r>
      <w:r w:rsidRPr="0042298F">
        <w:rPr>
          <w:rFonts w:ascii="Calibri" w:hAnsi="Calibri" w:cs="Calibri"/>
          <w:i/>
          <w:iCs/>
          <w:noProof/>
        </w:rPr>
        <w:t>Am J Ophthalmol</w:t>
      </w:r>
      <w:r w:rsidRPr="0042298F">
        <w:rPr>
          <w:rFonts w:ascii="Calibri" w:hAnsi="Calibri" w:cs="Calibri"/>
          <w:noProof/>
        </w:rPr>
        <w:t>. 2007;143(6):940-944. doi:10.1016/j.ajo.2007.02.030</w:t>
      </w:r>
    </w:p>
    <w:p w14:paraId="560063DE"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13. </w:t>
      </w:r>
      <w:r w:rsidRPr="0042298F">
        <w:rPr>
          <w:rFonts w:ascii="Calibri" w:hAnsi="Calibri" w:cs="Calibri"/>
          <w:noProof/>
        </w:rPr>
        <w:tab/>
        <w:t xml:space="preserve">Prajna NV, Krishnan T, Rajaraman R, et al. Effect of Oral Voriconazole on Fungal Keratitis in the Mycotic Ulcer Treatment Trial II (MUTT II): A Randomized Clinical Trial. </w:t>
      </w:r>
      <w:r w:rsidRPr="0042298F">
        <w:rPr>
          <w:rFonts w:ascii="Calibri" w:hAnsi="Calibri" w:cs="Calibri"/>
          <w:i/>
          <w:iCs/>
          <w:noProof/>
        </w:rPr>
        <w:t>JAMA Ophthalmol</w:t>
      </w:r>
      <w:r w:rsidRPr="0042298F">
        <w:rPr>
          <w:rFonts w:ascii="Calibri" w:hAnsi="Calibri" w:cs="Calibri"/>
          <w:noProof/>
        </w:rPr>
        <w:t>. 2016;134(12):1365-1372. doi:10.1001/jamaophthalmol.2016.4096</w:t>
      </w:r>
    </w:p>
    <w:p w14:paraId="680421B3"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14. </w:t>
      </w:r>
      <w:r w:rsidRPr="0042298F">
        <w:rPr>
          <w:rFonts w:ascii="Calibri" w:hAnsi="Calibri" w:cs="Calibri"/>
          <w:noProof/>
        </w:rPr>
        <w:tab/>
        <w:t xml:space="preserve">Narayana S, Krishnan T, Ramakrishnan S, et al. Mycotic Antimicrobial Localized Injection A Randomized Clinical Trial Evaluating Intrastromal Injection of Voriconazole. </w:t>
      </w:r>
      <w:r w:rsidRPr="0042298F">
        <w:rPr>
          <w:rFonts w:ascii="Calibri" w:hAnsi="Calibri" w:cs="Calibri"/>
          <w:i/>
          <w:iCs/>
          <w:noProof/>
        </w:rPr>
        <w:t>Ophthalmology</w:t>
      </w:r>
      <w:r w:rsidRPr="0042298F">
        <w:rPr>
          <w:rFonts w:ascii="Calibri" w:hAnsi="Calibri" w:cs="Calibri"/>
          <w:noProof/>
        </w:rPr>
        <w:t>. 2019;126(8):1084-1089. doi:10.1016/j.ophtha.2019.03.020</w:t>
      </w:r>
    </w:p>
    <w:p w14:paraId="018DB902"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15. </w:t>
      </w:r>
      <w:r w:rsidRPr="0042298F">
        <w:rPr>
          <w:rFonts w:ascii="Calibri" w:hAnsi="Calibri" w:cs="Calibri"/>
          <w:noProof/>
        </w:rPr>
        <w:tab/>
        <w:t xml:space="preserve">Prajna NV, Radhakrishnan N, Lalitha P, et al. Cross-Linking–Assisted Infection Reduction: A Randomized Clinical Trial Evaluating the Effect of Adjuvant Cross-Linking on Outcomes in Fungal Keratitis. </w:t>
      </w:r>
      <w:r w:rsidRPr="0042298F">
        <w:rPr>
          <w:rFonts w:ascii="Calibri" w:hAnsi="Calibri" w:cs="Calibri"/>
          <w:i/>
          <w:iCs/>
          <w:noProof/>
        </w:rPr>
        <w:t>Ophthalmology</w:t>
      </w:r>
      <w:r w:rsidRPr="0042298F">
        <w:rPr>
          <w:rFonts w:ascii="Calibri" w:hAnsi="Calibri" w:cs="Calibri"/>
          <w:noProof/>
        </w:rPr>
        <w:t>. February 2019. doi:10.1016/j.ophtha.2019.08.029</w:t>
      </w:r>
    </w:p>
    <w:p w14:paraId="34FF2133" w14:textId="77777777" w:rsidR="0042298F" w:rsidRPr="0042298F" w:rsidRDefault="0042298F" w:rsidP="0042298F">
      <w:pPr>
        <w:widowControl w:val="0"/>
        <w:autoSpaceDE w:val="0"/>
        <w:autoSpaceDN w:val="0"/>
        <w:adjustRightInd w:val="0"/>
        <w:ind w:left="640" w:hanging="640"/>
        <w:rPr>
          <w:rFonts w:ascii="Calibri" w:hAnsi="Calibri" w:cs="Calibri"/>
          <w:noProof/>
        </w:rPr>
      </w:pPr>
      <w:r w:rsidRPr="0042298F">
        <w:rPr>
          <w:rFonts w:ascii="Calibri" w:hAnsi="Calibri" w:cs="Calibri"/>
          <w:noProof/>
        </w:rPr>
        <w:t xml:space="preserve">16. </w:t>
      </w:r>
      <w:r w:rsidRPr="0042298F">
        <w:rPr>
          <w:rFonts w:ascii="Calibri" w:hAnsi="Calibri" w:cs="Calibri"/>
          <w:noProof/>
        </w:rPr>
        <w:tab/>
        <w:t xml:space="preserve">LeCun Y, Bottou L, Bengio Y, Haffner P. Gradient-based learning applied to document recognition. </w:t>
      </w:r>
      <w:r w:rsidRPr="0042298F">
        <w:rPr>
          <w:rFonts w:ascii="Calibri" w:hAnsi="Calibri" w:cs="Calibri"/>
          <w:i/>
          <w:iCs/>
          <w:noProof/>
        </w:rPr>
        <w:t>Proc IEEE</w:t>
      </w:r>
      <w:r w:rsidRPr="0042298F">
        <w:rPr>
          <w:rFonts w:ascii="Calibri" w:hAnsi="Calibri" w:cs="Calibri"/>
          <w:noProof/>
        </w:rPr>
        <w:t>. 1998;86(11):2278-2323. doi:10.1109/5.726791</w:t>
      </w:r>
    </w:p>
    <w:p w14:paraId="09EABB54" w14:textId="3AA96018" w:rsidR="0042298F" w:rsidRPr="0042298F" w:rsidRDefault="0042298F" w:rsidP="004B3FA2">
      <w:pPr>
        <w:rPr>
          <w:b/>
          <w:bCs/>
        </w:rPr>
      </w:pPr>
      <w:r>
        <w:rPr>
          <w:b/>
          <w:bCs/>
        </w:rPr>
        <w:fldChar w:fldCharType="end"/>
      </w:r>
    </w:p>
    <w:p w14:paraId="3E6B6E18" w14:textId="77777777" w:rsidR="003B0AB5" w:rsidRPr="003B0AB5" w:rsidRDefault="003B0AB5">
      <w:pPr>
        <w:rPr>
          <w:b/>
          <w:bCs/>
        </w:rPr>
      </w:pPr>
    </w:p>
    <w:sectPr w:rsidR="003B0AB5" w:rsidRPr="003B0AB5" w:rsidSect="00231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D38D7"/>
    <w:multiLevelType w:val="hybridMultilevel"/>
    <w:tmpl w:val="C020F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FE3645"/>
    <w:multiLevelType w:val="hybridMultilevel"/>
    <w:tmpl w:val="7CD45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2102DE"/>
    <w:multiLevelType w:val="hybridMultilevel"/>
    <w:tmpl w:val="4F06F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A0797"/>
    <w:multiLevelType w:val="hybridMultilevel"/>
    <w:tmpl w:val="AD562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EF129A"/>
    <w:multiLevelType w:val="hybridMultilevel"/>
    <w:tmpl w:val="C1846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3E1CBC"/>
    <w:multiLevelType w:val="hybridMultilevel"/>
    <w:tmpl w:val="1962335C"/>
    <w:lvl w:ilvl="0" w:tplc="5472E9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C0DC7"/>
    <w:multiLevelType w:val="hybridMultilevel"/>
    <w:tmpl w:val="806AF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194BA8"/>
    <w:multiLevelType w:val="hybridMultilevel"/>
    <w:tmpl w:val="59626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C13BF0"/>
    <w:multiLevelType w:val="hybridMultilevel"/>
    <w:tmpl w:val="CFDCC5F8"/>
    <w:lvl w:ilvl="0" w:tplc="A2E00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6113D"/>
    <w:multiLevelType w:val="hybridMultilevel"/>
    <w:tmpl w:val="1CECECE4"/>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0" w15:restartNumberingAfterBreak="0">
    <w:nsid w:val="76432D6C"/>
    <w:multiLevelType w:val="hybridMultilevel"/>
    <w:tmpl w:val="A11C1E28"/>
    <w:lvl w:ilvl="0" w:tplc="5472E9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0"/>
  </w:num>
  <w:num w:numId="5">
    <w:abstractNumId w:val="10"/>
  </w:num>
  <w:num w:numId="6">
    <w:abstractNumId w:val="9"/>
  </w:num>
  <w:num w:numId="7">
    <w:abstractNumId w:val="6"/>
  </w:num>
  <w:num w:numId="8">
    <w:abstractNumId w:val="7"/>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B5"/>
    <w:rsid w:val="00043CFA"/>
    <w:rsid w:val="0023199C"/>
    <w:rsid w:val="00265AAA"/>
    <w:rsid w:val="003B0AB5"/>
    <w:rsid w:val="0042298F"/>
    <w:rsid w:val="0045125C"/>
    <w:rsid w:val="004B3FA2"/>
    <w:rsid w:val="004D4BF1"/>
    <w:rsid w:val="0052503C"/>
    <w:rsid w:val="0053309C"/>
    <w:rsid w:val="00540BFB"/>
    <w:rsid w:val="00774648"/>
    <w:rsid w:val="008012C1"/>
    <w:rsid w:val="00923139"/>
    <w:rsid w:val="00970F6F"/>
    <w:rsid w:val="009A35EE"/>
    <w:rsid w:val="00AC5778"/>
    <w:rsid w:val="00B235DA"/>
    <w:rsid w:val="00CD04CA"/>
    <w:rsid w:val="00EB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E8C7"/>
  <w15:chartTrackingRefBased/>
  <w15:docId w15:val="{491726EA-0520-3943-BC49-4C6E3F5E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AB5"/>
    <w:pPr>
      <w:ind w:left="720"/>
      <w:contextualSpacing/>
    </w:pPr>
  </w:style>
  <w:style w:type="paragraph" w:styleId="NormalWeb">
    <w:name w:val="Normal (Web)"/>
    <w:basedOn w:val="Normal"/>
    <w:uiPriority w:val="99"/>
    <w:semiHidden/>
    <w:unhideWhenUsed/>
    <w:rsid w:val="003B0A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8773">
      <w:bodyDiv w:val="1"/>
      <w:marLeft w:val="0"/>
      <w:marRight w:val="0"/>
      <w:marTop w:val="0"/>
      <w:marBottom w:val="0"/>
      <w:divBdr>
        <w:top w:val="none" w:sz="0" w:space="0" w:color="auto"/>
        <w:left w:val="none" w:sz="0" w:space="0" w:color="auto"/>
        <w:bottom w:val="none" w:sz="0" w:space="0" w:color="auto"/>
        <w:right w:val="none" w:sz="0" w:space="0" w:color="auto"/>
      </w:divBdr>
      <w:divsChild>
        <w:div w:id="1129400192">
          <w:marLeft w:val="0"/>
          <w:marRight w:val="0"/>
          <w:marTop w:val="0"/>
          <w:marBottom w:val="0"/>
          <w:divBdr>
            <w:top w:val="none" w:sz="0" w:space="0" w:color="auto"/>
            <w:left w:val="none" w:sz="0" w:space="0" w:color="auto"/>
            <w:bottom w:val="none" w:sz="0" w:space="0" w:color="auto"/>
            <w:right w:val="none" w:sz="0" w:space="0" w:color="auto"/>
          </w:divBdr>
          <w:divsChild>
            <w:div w:id="606162444">
              <w:marLeft w:val="0"/>
              <w:marRight w:val="0"/>
              <w:marTop w:val="0"/>
              <w:marBottom w:val="0"/>
              <w:divBdr>
                <w:top w:val="none" w:sz="0" w:space="0" w:color="auto"/>
                <w:left w:val="none" w:sz="0" w:space="0" w:color="auto"/>
                <w:bottom w:val="none" w:sz="0" w:space="0" w:color="auto"/>
                <w:right w:val="none" w:sz="0" w:space="0" w:color="auto"/>
              </w:divBdr>
              <w:divsChild>
                <w:div w:id="19394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9036">
      <w:bodyDiv w:val="1"/>
      <w:marLeft w:val="0"/>
      <w:marRight w:val="0"/>
      <w:marTop w:val="0"/>
      <w:marBottom w:val="0"/>
      <w:divBdr>
        <w:top w:val="none" w:sz="0" w:space="0" w:color="auto"/>
        <w:left w:val="none" w:sz="0" w:space="0" w:color="auto"/>
        <w:bottom w:val="none" w:sz="0" w:space="0" w:color="auto"/>
        <w:right w:val="none" w:sz="0" w:space="0" w:color="auto"/>
      </w:divBdr>
      <w:divsChild>
        <w:div w:id="1795563778">
          <w:marLeft w:val="0"/>
          <w:marRight w:val="0"/>
          <w:marTop w:val="0"/>
          <w:marBottom w:val="0"/>
          <w:divBdr>
            <w:top w:val="none" w:sz="0" w:space="0" w:color="auto"/>
            <w:left w:val="none" w:sz="0" w:space="0" w:color="auto"/>
            <w:bottom w:val="none" w:sz="0" w:space="0" w:color="auto"/>
            <w:right w:val="none" w:sz="0" w:space="0" w:color="auto"/>
          </w:divBdr>
          <w:divsChild>
            <w:div w:id="229586353">
              <w:marLeft w:val="0"/>
              <w:marRight w:val="0"/>
              <w:marTop w:val="0"/>
              <w:marBottom w:val="0"/>
              <w:divBdr>
                <w:top w:val="none" w:sz="0" w:space="0" w:color="auto"/>
                <w:left w:val="none" w:sz="0" w:space="0" w:color="auto"/>
                <w:bottom w:val="none" w:sz="0" w:space="0" w:color="auto"/>
                <w:right w:val="none" w:sz="0" w:space="0" w:color="auto"/>
              </w:divBdr>
              <w:divsChild>
                <w:div w:id="1652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7583">
      <w:bodyDiv w:val="1"/>
      <w:marLeft w:val="0"/>
      <w:marRight w:val="0"/>
      <w:marTop w:val="0"/>
      <w:marBottom w:val="0"/>
      <w:divBdr>
        <w:top w:val="none" w:sz="0" w:space="0" w:color="auto"/>
        <w:left w:val="none" w:sz="0" w:space="0" w:color="auto"/>
        <w:bottom w:val="none" w:sz="0" w:space="0" w:color="auto"/>
        <w:right w:val="none" w:sz="0" w:space="0" w:color="auto"/>
      </w:divBdr>
      <w:divsChild>
        <w:div w:id="308441175">
          <w:marLeft w:val="0"/>
          <w:marRight w:val="0"/>
          <w:marTop w:val="0"/>
          <w:marBottom w:val="0"/>
          <w:divBdr>
            <w:top w:val="none" w:sz="0" w:space="0" w:color="auto"/>
            <w:left w:val="none" w:sz="0" w:space="0" w:color="auto"/>
            <w:bottom w:val="none" w:sz="0" w:space="0" w:color="auto"/>
            <w:right w:val="none" w:sz="0" w:space="0" w:color="auto"/>
          </w:divBdr>
          <w:divsChild>
            <w:div w:id="935406759">
              <w:marLeft w:val="0"/>
              <w:marRight w:val="0"/>
              <w:marTop w:val="0"/>
              <w:marBottom w:val="0"/>
              <w:divBdr>
                <w:top w:val="none" w:sz="0" w:space="0" w:color="auto"/>
                <w:left w:val="none" w:sz="0" w:space="0" w:color="auto"/>
                <w:bottom w:val="none" w:sz="0" w:space="0" w:color="auto"/>
                <w:right w:val="none" w:sz="0" w:space="0" w:color="auto"/>
              </w:divBdr>
              <w:divsChild>
                <w:div w:id="15449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2108">
      <w:bodyDiv w:val="1"/>
      <w:marLeft w:val="0"/>
      <w:marRight w:val="0"/>
      <w:marTop w:val="0"/>
      <w:marBottom w:val="0"/>
      <w:divBdr>
        <w:top w:val="none" w:sz="0" w:space="0" w:color="auto"/>
        <w:left w:val="none" w:sz="0" w:space="0" w:color="auto"/>
        <w:bottom w:val="none" w:sz="0" w:space="0" w:color="auto"/>
        <w:right w:val="none" w:sz="0" w:space="0" w:color="auto"/>
      </w:divBdr>
      <w:divsChild>
        <w:div w:id="1350064530">
          <w:marLeft w:val="0"/>
          <w:marRight w:val="0"/>
          <w:marTop w:val="0"/>
          <w:marBottom w:val="0"/>
          <w:divBdr>
            <w:top w:val="none" w:sz="0" w:space="0" w:color="auto"/>
            <w:left w:val="none" w:sz="0" w:space="0" w:color="auto"/>
            <w:bottom w:val="none" w:sz="0" w:space="0" w:color="auto"/>
            <w:right w:val="none" w:sz="0" w:space="0" w:color="auto"/>
          </w:divBdr>
          <w:divsChild>
            <w:div w:id="458231331">
              <w:marLeft w:val="0"/>
              <w:marRight w:val="0"/>
              <w:marTop w:val="0"/>
              <w:marBottom w:val="0"/>
              <w:divBdr>
                <w:top w:val="none" w:sz="0" w:space="0" w:color="auto"/>
                <w:left w:val="none" w:sz="0" w:space="0" w:color="auto"/>
                <w:bottom w:val="none" w:sz="0" w:space="0" w:color="auto"/>
                <w:right w:val="none" w:sz="0" w:space="0" w:color="auto"/>
              </w:divBdr>
              <w:divsChild>
                <w:div w:id="1303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86523">
      <w:bodyDiv w:val="1"/>
      <w:marLeft w:val="0"/>
      <w:marRight w:val="0"/>
      <w:marTop w:val="0"/>
      <w:marBottom w:val="0"/>
      <w:divBdr>
        <w:top w:val="none" w:sz="0" w:space="0" w:color="auto"/>
        <w:left w:val="none" w:sz="0" w:space="0" w:color="auto"/>
        <w:bottom w:val="none" w:sz="0" w:space="0" w:color="auto"/>
        <w:right w:val="none" w:sz="0" w:space="0" w:color="auto"/>
      </w:divBdr>
      <w:divsChild>
        <w:div w:id="358700745">
          <w:marLeft w:val="0"/>
          <w:marRight w:val="0"/>
          <w:marTop w:val="0"/>
          <w:marBottom w:val="0"/>
          <w:divBdr>
            <w:top w:val="none" w:sz="0" w:space="0" w:color="auto"/>
            <w:left w:val="none" w:sz="0" w:space="0" w:color="auto"/>
            <w:bottom w:val="none" w:sz="0" w:space="0" w:color="auto"/>
            <w:right w:val="none" w:sz="0" w:space="0" w:color="auto"/>
          </w:divBdr>
          <w:divsChild>
            <w:div w:id="101465076">
              <w:marLeft w:val="0"/>
              <w:marRight w:val="0"/>
              <w:marTop w:val="0"/>
              <w:marBottom w:val="0"/>
              <w:divBdr>
                <w:top w:val="none" w:sz="0" w:space="0" w:color="auto"/>
                <w:left w:val="none" w:sz="0" w:space="0" w:color="auto"/>
                <w:bottom w:val="none" w:sz="0" w:space="0" w:color="auto"/>
                <w:right w:val="none" w:sz="0" w:space="0" w:color="auto"/>
              </w:divBdr>
              <w:divsChild>
                <w:div w:id="15679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BBA2B-8D35-6946-9D37-A73802FC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14365</Words>
  <Characters>81884</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Redd</dc:creator>
  <cp:keywords/>
  <dc:description/>
  <cp:lastModifiedBy>Travis Redd</cp:lastModifiedBy>
  <cp:revision>6</cp:revision>
  <dcterms:created xsi:type="dcterms:W3CDTF">2021-06-13T19:07:00Z</dcterms:created>
  <dcterms:modified xsi:type="dcterms:W3CDTF">2021-06-14T04:45:00Z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c0ffd4c8-9f36-396e-b7bd-42cafbc9fd1b</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