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eastAsia="MS Gothic"/>
          <w:b/>
          <w:i w:val="0"/>
          <w:color w:val="1A3A5C"/>
          <w:sz w:val="41"/>
        </w:rPr>
        <w:t>Palmer Madison Renae</w:t>
      </w:r>
    </w:p>
    <w:p>
      <w:pPr>
        <w:spacing w:after="80"/>
        <w:jc w:val="center"/>
      </w:pPr>
      <w:r>
        <w:rPr>
          <w:rFonts w:ascii="Arial" w:hAnsi="Arial" w:eastAsia="MS Gothic"/>
          <w:b/>
          <w:i w:val="0"/>
          <w:color w:val="2E6DA4"/>
          <w:sz w:val="21"/>
        </w:rPr>
        <w:t>Senior Software Engineer | System Design • Architecture • Code Review • Japanese (日本語) • Spanish</w:t>
      </w:r>
    </w:p>
    <w:p>
      <w:pPr>
        <w:spacing w:after="40"/>
        <w:jc w:val="center"/>
      </w:pPr>
      <w:r>
        <w:drawing>
          <wp:inline xmlns:a="http://schemas.openxmlformats.org/drawingml/2006/main" xmlns:pic="http://schemas.openxmlformats.org/drawingml/2006/picture">
            <wp:extent cx="114300" cy="114300"/>
            <wp:docPr id="1" name="Picture 1"/>
            <wp:cNvGraphicFramePr>
              <a:graphicFrameLocks noChangeAspect="1"/>
            </wp:cNvGraphicFramePr>
            <a:graphic>
              <a:graphicData uri="http://schemas.openxmlformats.org/drawingml/2006/picture">
                <pic:pic>
                  <pic:nvPicPr>
                    <pic:cNvPr id="0" name="mail.png"/>
                    <pic:cNvPicPr/>
                  </pic:nvPicPr>
                  <pic:blipFill>
                    <a:blip r:embed="rId10"/>
                    <a:stretch>
                      <a:fillRect/>
                    </a:stretch>
                  </pic:blipFill>
                  <pic:spPr>
                    <a:xfrm>
                      <a:off x="0" y="0"/>
                      <a:ext cx="114300" cy="114300"/>
                    </a:xfrm>
                    <a:prstGeom prst="rect"/>
                  </pic:spPr>
                </pic:pic>
              </a:graphicData>
            </a:graphic>
          </wp:inline>
        </w:drawing>
      </w:r>
      <w:r>
        <w:rPr>
          <w:rFonts w:ascii="Arial" w:hAnsi="Arial" w:eastAsia="MS Gothic"/>
          <w:b w:val="0"/>
          <w:i w:val="0"/>
          <w:color w:val="000000"/>
          <w:sz w:val="20"/>
        </w:rPr>
        <w:t xml:space="preserve"> </w:t>
      </w:r>
      <w:hyperlink r:id="rId11">
        <w:r>
          <w:rPr>
            <w:rFonts w:ascii="Arial" w:hAnsi="Arial" w:cs="Arial"/>
            <w:color w:val="2E6DA4"/>
            <w:sz w:val="20"/>
            <w:szCs w:val="20"/>
          </w:rPr>
          <w:t>palmermadisonrenae@gmail.com</w:t>
        </w:r>
      </w:hyperlink>
      <w:r>
        <w:rPr>
          <w:rFonts w:ascii="Arial" w:hAnsi="Arial" w:eastAsia="MS Gothic"/>
          <w:b w:val="0"/>
          <w:i w:val="0"/>
          <w:color w:val="000000"/>
          <w:sz w:val="20"/>
        </w:rPr>
        <w:t xml:space="preserve">    |    </w:t>
      </w:r>
      <w:r>
        <w:drawing>
          <wp:inline xmlns:a="http://schemas.openxmlformats.org/drawingml/2006/main" xmlns:pic="http://schemas.openxmlformats.org/drawingml/2006/picture">
            <wp:extent cx="118872" cy="118872"/>
            <wp:docPr id="2" name="Picture 2"/>
            <wp:cNvGraphicFramePr>
              <a:graphicFrameLocks noChangeAspect="1"/>
            </wp:cNvGraphicFramePr>
            <a:graphic>
              <a:graphicData uri="http://schemas.openxmlformats.org/drawingml/2006/picture">
                <pic:pic>
                  <pic:nvPicPr>
                    <pic:cNvPr id="0" name="linkedin.png"/>
                    <pic:cNvPicPr/>
                  </pic:nvPicPr>
                  <pic:blipFill>
                    <a:blip r:embed="rId12"/>
                    <a:stretch>
                      <a:fillRect/>
                    </a:stretch>
                  </pic:blipFill>
                  <pic:spPr>
                    <a:xfrm>
                      <a:off x="0" y="0"/>
                      <a:ext cx="118872" cy="118872"/>
                    </a:xfrm>
                    <a:prstGeom prst="rect"/>
                  </pic:spPr>
                </pic:pic>
              </a:graphicData>
            </a:graphic>
          </wp:inline>
        </w:drawing>
      </w:r>
      <w:r>
        <w:rPr>
          <w:rFonts w:ascii="Arial" w:hAnsi="Arial" w:eastAsia="MS Gothic"/>
          <w:b w:val="0"/>
          <w:i w:val="0"/>
          <w:color w:val="000000"/>
          <w:sz w:val="20"/>
        </w:rPr>
        <w:t xml:space="preserve"> </w:t>
      </w:r>
      <w:hyperlink r:id="rId13">
        <w:r>
          <w:rPr>
            <w:rFonts w:ascii="Arial" w:hAnsi="Arial" w:cs="Arial"/>
            <w:color w:val="2E6DA4"/>
            <w:sz w:val="20"/>
            <w:szCs w:val="20"/>
          </w:rPr>
          <w:t>linkedin.com/in/madison-palmer-652b62145</w:t>
        </w:r>
      </w:hyperlink>
    </w:p>
    <w:p>
      <w:pPr>
        <w:spacing w:after="80"/>
        <w:jc w:val="center"/>
      </w:pPr>
      <w:r>
        <w:drawing>
          <wp:inline xmlns:a="http://schemas.openxmlformats.org/drawingml/2006/main" xmlns:pic="http://schemas.openxmlformats.org/drawingml/2006/picture">
            <wp:extent cx="114300" cy="114300"/>
            <wp:docPr id="3" name="Picture 3"/>
            <wp:cNvGraphicFramePr>
              <a:graphicFrameLocks noChangeAspect="1"/>
            </wp:cNvGraphicFramePr>
            <a:graphic>
              <a:graphicData uri="http://schemas.openxmlformats.org/drawingml/2006/picture">
                <pic:pic>
                  <pic:nvPicPr>
                    <pic:cNvPr id="0" name="pin.png"/>
                    <pic:cNvPicPr/>
                  </pic:nvPicPr>
                  <pic:blipFill>
                    <a:blip r:embed="rId14"/>
                    <a:stretch>
                      <a:fillRect/>
                    </a:stretch>
                  </pic:blipFill>
                  <pic:spPr>
                    <a:xfrm>
                      <a:off x="0" y="0"/>
                      <a:ext cx="114300" cy="114300"/>
                    </a:xfrm>
                    <a:prstGeom prst="rect"/>
                  </pic:spPr>
                </pic:pic>
              </a:graphicData>
            </a:graphic>
          </wp:inline>
        </w:drawing>
      </w:r>
      <w:r>
        <w:rPr>
          <w:rFonts w:ascii="Arial" w:hAnsi="Arial" w:eastAsia="MS Gothic"/>
          <w:b w:val="0"/>
          <w:i w:val="0"/>
          <w:color w:val="000000"/>
          <w:sz w:val="20"/>
        </w:rPr>
        <w:t xml:space="preserve"> Nairobi, Kenya    |    </w:t>
      </w:r>
      <w:r>
        <w:drawing>
          <wp:inline xmlns:a="http://schemas.openxmlformats.org/drawingml/2006/main" xmlns:pic="http://schemas.openxmlformats.org/drawingml/2006/picture">
            <wp:extent cx="114300" cy="114300"/>
            <wp:docPr id="4" name="Picture 4"/>
            <wp:cNvGraphicFramePr>
              <a:graphicFrameLocks noChangeAspect="1"/>
            </wp:cNvGraphicFramePr>
            <a:graphic>
              <a:graphicData uri="http://schemas.openxmlformats.org/drawingml/2006/picture">
                <pic:pic>
                  <pic:nvPicPr>
                    <pic:cNvPr id="0" name="globe.png"/>
                    <pic:cNvPicPr/>
                  </pic:nvPicPr>
                  <pic:blipFill>
                    <a:blip r:embed="rId15"/>
                    <a:stretch>
                      <a:fillRect/>
                    </a:stretch>
                  </pic:blipFill>
                  <pic:spPr>
                    <a:xfrm>
                      <a:off x="0" y="0"/>
                      <a:ext cx="114300" cy="114300"/>
                    </a:xfrm>
                    <a:prstGeom prst="rect"/>
                  </pic:spPr>
                </pic:pic>
              </a:graphicData>
            </a:graphic>
          </wp:inline>
        </w:drawing>
      </w:r>
      <w:r>
        <w:rPr>
          <w:rFonts w:ascii="Arial" w:hAnsi="Arial" w:eastAsia="MS Gothic"/>
          <w:b w:val="0"/>
          <w:i w:val="0"/>
          <w:color w:val="000000"/>
          <w:sz w:val="20"/>
        </w:rPr>
        <w:t xml:space="preserve"> Remote / Global (EN • JA • ES)    |    </w:t>
      </w:r>
      <w:r>
        <w:drawing>
          <wp:inline xmlns:a="http://schemas.openxmlformats.org/drawingml/2006/main" xmlns:pic="http://schemas.openxmlformats.org/drawingml/2006/picture">
            <wp:extent cx="114300" cy="114300"/>
            <wp:docPr id="5" name="Picture 5"/>
            <wp:cNvGraphicFramePr>
              <a:graphicFrameLocks noChangeAspect="1"/>
            </wp:cNvGraphicFramePr>
            <a:graphic>
              <a:graphicData uri="http://schemas.openxmlformats.org/drawingml/2006/picture">
                <pic:pic>
                  <pic:nvPicPr>
                    <pic:cNvPr id="0" name="flag.png"/>
                    <pic:cNvPicPr/>
                  </pic:nvPicPr>
                  <pic:blipFill>
                    <a:blip r:embed="rId16"/>
                    <a:stretch>
                      <a:fillRect/>
                    </a:stretch>
                  </pic:blipFill>
                  <pic:spPr>
                    <a:xfrm>
                      <a:off x="0" y="0"/>
                      <a:ext cx="114300" cy="114300"/>
                    </a:xfrm>
                    <a:prstGeom prst="rect"/>
                  </pic:spPr>
                </pic:pic>
              </a:graphicData>
            </a:graphic>
          </wp:inline>
        </w:drawing>
      </w:r>
      <w:r>
        <w:rPr>
          <w:rFonts w:ascii="Arial" w:hAnsi="Arial" w:eastAsia="MS Gothic"/>
          <w:b w:val="0"/>
          <w:i w:val="0"/>
          <w:color w:val="000000"/>
          <w:sz w:val="20"/>
        </w:rPr>
        <w:t xml:space="preserve"> Kenyan Citizen (U.S.-Educated)</w:t>
      </w:r>
    </w:p>
    <w:p>
      <w:pPr>
        <w:keepNext/>
        <w:spacing w:before="170" w:after="90"/>
        <w:pBdr>
          <w:bottom w:val="single" w:sz="6" w:space="2" w:color="000000"/>
        </w:pBdr>
      </w:pPr>
      <w:r>
        <w:rPr>
          <w:rFonts w:ascii="Arial" w:hAnsi="Arial" w:eastAsia="MS Gothic"/>
          <w:b/>
          <w:i w:val="0"/>
          <w:color w:val="1A3A5C"/>
          <w:sz w:val="23"/>
        </w:rPr>
        <w:t>PROFESSIONAL SUMMARY</w:t>
      </w:r>
    </w:p>
    <w:p>
      <w:pPr>
        <w:spacing w:line="278" w:lineRule="auto" w:after="60"/>
        <w:jc w:val="both"/>
      </w:pPr>
      <w:r>
        <w:rPr>
          <w:rFonts w:ascii="Arial" w:hAnsi="Arial" w:eastAsia="MS Gothic"/>
          <w:b w:val="0"/>
          <w:i w:val="0"/>
          <w:color w:val="000000"/>
          <w:sz w:val="20"/>
        </w:rPr>
        <w:t>U.S.-educated Senior Software Engineer and Trilingual Technical Specialist (</w:t>
      </w:r>
      <w:r>
        <w:rPr>
          <w:rFonts w:ascii="Arial" w:hAnsi="Arial" w:eastAsia="MS Gothic"/>
          <w:b/>
          <w:i w:val="0"/>
          <w:color w:val="000000"/>
          <w:sz w:val="20"/>
        </w:rPr>
        <w:t>Kenyan citizen</w:t>
      </w:r>
      <w:r>
        <w:rPr>
          <w:rFonts w:ascii="Arial" w:hAnsi="Arial" w:eastAsia="MS Gothic"/>
          <w:b w:val="0"/>
          <w:i w:val="0"/>
          <w:color w:val="000000"/>
          <w:sz w:val="20"/>
        </w:rPr>
        <w:t xml:space="preserve"> based in Nairobi, Kenya) with </w:t>
      </w:r>
      <w:r>
        <w:rPr>
          <w:rFonts w:ascii="Arial" w:hAnsi="Arial" w:eastAsia="MS Gothic"/>
          <w:b/>
          <w:i w:val="0"/>
          <w:color w:val="000000"/>
          <w:sz w:val="20"/>
        </w:rPr>
        <w:t>5 years of experience</w:t>
      </w:r>
      <w:r>
        <w:rPr>
          <w:rFonts w:ascii="Arial" w:hAnsi="Arial" w:eastAsia="MS Gothic"/>
          <w:b w:val="0"/>
          <w:i w:val="0"/>
          <w:color w:val="000000"/>
          <w:sz w:val="20"/>
        </w:rPr>
        <w:t xml:space="preserve"> designing, building, localizing, and reviewing high-scale production systems for leading technology companies. Trained in Computer Science and languages in the United States (Stanford M.S., UC Berkeley B.S.), combining deep expertise in system design, software architecture, algorithms, and code review with </w:t>
      </w:r>
      <w:r>
        <w:rPr>
          <w:rFonts w:ascii="Arial" w:hAnsi="Arial" w:eastAsia="MS Gothic"/>
          <w:b/>
          <w:i w:val="0"/>
          <w:color w:val="000000"/>
          <w:sz w:val="20"/>
        </w:rPr>
        <w:t>5 years of professional fluency in Japanese (日本語, JLPT N1) and Spanish (Español, DELE C1)</w:t>
      </w:r>
      <w:r>
        <w:rPr>
          <w:rFonts w:ascii="Arial" w:hAnsi="Arial" w:eastAsia="MS Gothic"/>
          <w:b w:val="0"/>
          <w:i w:val="0"/>
          <w:color w:val="000000"/>
          <w:sz w:val="20"/>
        </w:rPr>
        <w:t xml:space="preserve"> alongside native English. Proven track record evaluating source code and multilingual AI outputs, translating technical documentation, and collaborating across U.S., Tokyo (JST), and LATAM/European engineering teams.</w:t>
      </w:r>
    </w:p>
    <w:p>
      <w:pPr>
        <w:keepNext/>
        <w:spacing w:before="170" w:after="90"/>
        <w:pBdr>
          <w:bottom w:val="single" w:sz="6" w:space="2" w:color="000000"/>
        </w:pBdr>
      </w:pPr>
      <w:r>
        <w:rPr>
          <w:rFonts w:ascii="Arial" w:hAnsi="Arial" w:eastAsia="MS Gothic"/>
          <w:b/>
          <w:i w:val="0"/>
          <w:color w:val="1A3A5C"/>
          <w:sz w:val="23"/>
        </w:rPr>
        <w:t>CORE QUALIFICATIONS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System Design: </w:t>
      </w:r>
      <w:r>
        <w:rPr>
          <w:rFonts w:ascii="Arial" w:hAnsi="Arial" w:eastAsia="MS Gothic"/>
          <w:b w:val="0"/>
          <w:i w:val="0"/>
          <w:color w:val="000000"/>
          <w:sz w:val="20"/>
        </w:rPr>
        <w:t>Designed distributed, fault-tolerant systems handling tens of millions of requests per day across U.S., Japan/APAC, and LATAM regions — covering scalability, consistency, availability, and cost trade-offs.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Japanese &amp; Spanish Proficiency: </w:t>
      </w:r>
      <w:r>
        <w:rPr>
          <w:rFonts w:ascii="Arial" w:hAnsi="Arial" w:eastAsia="MS Gothic"/>
          <w:b w:val="0"/>
          <w:i w:val="0"/>
          <w:color w:val="000000"/>
          <w:sz w:val="20"/>
        </w:rPr>
        <w:t>5 years of full professional fluency in Japanese (日本語 — JLPT N1, corporate keigo, EN–JA technical translation, CJK encoding) and Spanish (Español — DELE C1, LATAM &amp; Spain registers, EN–ES localization).</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Code Review: </w:t>
      </w:r>
      <w:r>
        <w:rPr>
          <w:rFonts w:ascii="Arial" w:hAnsi="Arial" w:eastAsia="MS Gothic"/>
          <w:b w:val="0"/>
          <w:i w:val="0"/>
          <w:color w:val="000000"/>
          <w:sz w:val="20"/>
        </w:rPr>
        <w:t>Reviewed 2,500+ pull requests across multiple programming languages; enforced correctness, readability, internationalization (i18n), security, and performance standards.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Debugging: </w:t>
      </w:r>
      <w:r>
        <w:rPr>
          <w:rFonts w:ascii="Arial" w:hAnsi="Arial" w:eastAsia="MS Gothic"/>
          <w:b w:val="0"/>
          <w:i w:val="0"/>
          <w:color w:val="000000"/>
          <w:sz w:val="20"/>
        </w:rPr>
        <w:t>Diagnosed and resolved 300+ production incidents across the full stack — from memory leaks and race conditions to distributed tracing and multi-byte Japanese/Spanish text defects.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Algorithms: </w:t>
      </w:r>
      <w:r>
        <w:rPr>
          <w:rFonts w:ascii="Arial" w:hAnsi="Arial" w:eastAsia="MS Gothic"/>
          <w:b w:val="0"/>
          <w:i w:val="0"/>
          <w:color w:val="000000"/>
          <w:sz w:val="20"/>
        </w:rPr>
        <w:t>Strong command of algorithmic design, complexity analysis, and optimization; authored 200+ challenging coding problems with reference solutions and edge-case test suites.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Data Structures: </w:t>
      </w:r>
      <w:r>
        <w:rPr>
          <w:rFonts w:ascii="Arial" w:hAnsi="Arial" w:eastAsia="MS Gothic"/>
          <w:b w:val="0"/>
          <w:i w:val="0"/>
          <w:color w:val="000000"/>
          <w:sz w:val="20"/>
        </w:rPr>
        <w:t>Expert-level fluency in trees, graphs, heaps, hash maps, tries, and probabilistic data types — applied to high-throughput search tokenization and memory optimization.</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Software Architecture: </w:t>
      </w:r>
      <w:r>
        <w:rPr>
          <w:rFonts w:ascii="Arial" w:hAnsi="Arial" w:eastAsia="MS Gothic"/>
          <w:b w:val="0"/>
          <w:i w:val="0"/>
          <w:color w:val="000000"/>
          <w:sz w:val="20"/>
        </w:rPr>
        <w:t>Architected microservices, event-driven systems, and monolith-to-service migrations; documented decisions via bilingual ADRs and design reviews.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Technical Writing &amp; Translation: </w:t>
      </w:r>
      <w:r>
        <w:rPr>
          <w:rFonts w:ascii="Arial" w:hAnsi="Arial" w:eastAsia="MS Gothic"/>
          <w:b w:val="0"/>
          <w:i w:val="0"/>
          <w:color w:val="000000"/>
          <w:sz w:val="20"/>
        </w:rPr>
        <w:t>Explains architecture, debugging, and design decisions with clarity and precision across English, Japanese, and Spanish — for engineers, reviewers, and global stakeholders.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Multilingual AI &amp; Code Evaluation: </w:t>
      </w:r>
      <w:r>
        <w:rPr>
          <w:rFonts w:ascii="Arial" w:hAnsi="Arial" w:eastAsia="MS Gothic"/>
          <w:b w:val="0"/>
          <w:i w:val="0"/>
          <w:color w:val="000000"/>
          <w:sz w:val="20"/>
        </w:rPr>
        <w:t>Skilled at assessing AI-generated code and Japanese, Spanish, and English responses for correctness, edge-case coverage, natural style, and architectural soundness.</w:t>
      </w:r>
    </w:p>
    <w:p>
      <w:pPr>
        <w:keepNext/>
        <w:spacing w:before="170" w:after="90"/>
        <w:pBdr>
          <w:bottom w:val="single" w:sz="6" w:space="2" w:color="000000"/>
        </w:pBdr>
      </w:pPr>
      <w:r>
        <w:rPr>
          <w:rFonts w:ascii="Arial" w:hAnsi="Arial" w:eastAsia="MS Gothic"/>
          <w:b/>
          <w:i w:val="0"/>
          <w:color w:val="1A3A5C"/>
          <w:sz w:val="23"/>
        </w:rPr>
        <w:t>EDUCATION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15" w:type="dxa"/>
          <w:left w:w="0" w:type="dxa"/>
          <w:bottom w:w="15" w:type="dxa"/>
          <w:right w:w="0" w:type="dxa"/>
        </w:tblCellMar>
      </w:tblPr>
      <w:tblGrid>
        <w:gridCol w:w="5155"/>
        <w:gridCol w:w="5155"/>
      </w:tblGrid>
      <w:tr>
        <w:trPr>
          <w:cantSplit/>
        </w:trPr>
        <w:tc>
          <w:tcPr>
            <w:tcW w:type="dxa" w:w="5112"/>
          </w:tcPr>
          <w:p>
            <w:pPr>
              <w:keepNext/>
              <w:spacing w:after="20"/>
            </w:pPr>
            <w:r>
              <w:rPr>
                <w:rFonts w:ascii="Arial" w:hAnsi="Arial" w:eastAsia="MS Gothic"/>
                <w:b/>
                <w:i w:val="0"/>
                <w:color w:val="000000"/>
                <w:sz w:val="20"/>
              </w:rPr>
              <w:t xml:space="preserve">Master of Science in Computer Science — </w:t>
            </w:r>
            <w:r>
              <w:rPr>
                <w:rFonts w:ascii="Arial" w:hAnsi="Arial" w:eastAsia="MS Gothic"/>
                <w:b/>
                <w:i/>
                <w:color w:val="000000"/>
                <w:sz w:val="20"/>
              </w:rPr>
              <w:t>Distributed Systems &amp; Algorithms</w:t>
            </w:r>
          </w:p>
        </w:tc>
        <w:tc>
          <w:tcPr>
            <w:tcW w:type="dxa" w:w="5198"/>
          </w:tcPr>
          <w:p>
            <w:pPr>
              <w:keepNext/>
              <w:spacing w:after="20"/>
              <w:jc w:val="right"/>
            </w:pPr>
            <w:r>
              <w:rPr>
                <w:rFonts w:ascii="Arial" w:hAnsi="Arial" w:eastAsia="MS Gothic"/>
                <w:b w:val="0"/>
                <w:i/>
                <w:color w:val="000000"/>
                <w:sz w:val="19"/>
              </w:rPr>
              <w:t>2019 – 2021</w:t>
            </w:r>
          </w:p>
        </w:tc>
      </w:tr>
      <w:tr>
        <w:trPr>
          <w:cantSplit/>
        </w:trPr>
        <w:tc>
          <w:tcPr>
            <w:tcW w:type="dxa" w:w="5112"/>
          </w:tcPr>
          <w:p>
            <w:pPr>
              <w:keepNext/>
              <w:spacing w:after="60"/>
            </w:pPr>
            <w:r>
              <w:rPr>
                <w:rFonts w:ascii="Arial" w:hAnsi="Arial" w:eastAsia="MS Gothic"/>
                <w:b w:val="0"/>
                <w:i w:val="0"/>
                <w:color w:val="000000"/>
                <w:sz w:val="19"/>
              </w:rPr>
              <w:t>Stanford University, Stanford, CA, USA</w:t>
            </w:r>
          </w:p>
        </w:tc>
        <w:tc>
          <w:tcPr>
            <w:tcW w:type="dxa" w:w="5198"/>
          </w:tcPr>
          <w:p>
            <w:pPr>
              <w:keepNext/>
              <w:spacing w:after="60"/>
              <w:jc w:val="right"/>
            </w:pPr>
            <w:r>
              <w:rPr>
                <w:rFonts w:ascii="Arial" w:hAnsi="Arial" w:eastAsia="MS Gothic"/>
                <w:b w:val="0"/>
                <w:i w:val="0"/>
                <w:color w:val="000000"/>
                <w:sz w:val="19"/>
              </w:rPr>
              <w:t>GPA: 3.9/4.0  |  Thesis: Multi-Region Multilingual Microservices</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15" w:type="dxa"/>
          <w:left w:w="0" w:type="dxa"/>
          <w:bottom w:w="15" w:type="dxa"/>
          <w:right w:w="0" w:type="dxa"/>
        </w:tblCellMar>
      </w:tblPr>
      <w:tblGrid>
        <w:gridCol w:w="5155"/>
        <w:gridCol w:w="5155"/>
      </w:tblGrid>
      <w:tr>
        <w:trPr>
          <w:cantSplit/>
        </w:trPr>
        <w:tc>
          <w:tcPr>
            <w:tcW w:type="dxa" w:w="5112"/>
          </w:tcPr>
          <w:p>
            <w:pPr>
              <w:keepNext/>
              <w:spacing w:after="20"/>
            </w:pPr>
            <w:r>
              <w:rPr>
                <w:rFonts w:ascii="Arial" w:hAnsi="Arial" w:eastAsia="MS Gothic"/>
                <w:b/>
                <w:i w:val="0"/>
                <w:color w:val="000000"/>
                <w:sz w:val="20"/>
              </w:rPr>
              <w:t xml:space="preserve">Bachelor of Science in Computer Science — </w:t>
            </w:r>
            <w:r>
              <w:rPr>
                <w:rFonts w:ascii="Arial" w:hAnsi="Arial" w:eastAsia="MS Gothic"/>
                <w:b/>
                <w:i/>
                <w:color w:val="000000"/>
                <w:sz w:val="20"/>
              </w:rPr>
              <w:t>Minor in Japanese &amp; Hispanic Studies</w:t>
            </w:r>
          </w:p>
        </w:tc>
        <w:tc>
          <w:tcPr>
            <w:tcW w:type="dxa" w:w="5198"/>
          </w:tcPr>
          <w:p>
            <w:pPr>
              <w:keepNext/>
              <w:spacing w:after="20"/>
              <w:jc w:val="right"/>
            </w:pPr>
            <w:r>
              <w:rPr>
                <w:rFonts w:ascii="Arial" w:hAnsi="Arial" w:eastAsia="MS Gothic"/>
                <w:b w:val="0"/>
                <w:i/>
                <w:color w:val="000000"/>
                <w:sz w:val="19"/>
              </w:rPr>
              <w:t>2015 – 2019</w:t>
            </w:r>
          </w:p>
        </w:tc>
      </w:tr>
      <w:tr>
        <w:trPr>
          <w:cantSplit/>
        </w:trPr>
        <w:tc>
          <w:tcPr>
            <w:tcW w:type="dxa" w:w="5112"/>
          </w:tcPr>
          <w:p>
            <w:pPr>
              <w:keepNext/>
              <w:spacing w:after="60"/>
            </w:pPr>
            <w:r>
              <w:rPr>
                <w:rFonts w:ascii="Arial" w:hAnsi="Arial" w:eastAsia="MS Gothic"/>
                <w:b w:val="0"/>
                <w:i w:val="0"/>
                <w:color w:val="000000"/>
                <w:sz w:val="19"/>
              </w:rPr>
              <w:t>University of California, Berkeley, CA, USA</w:t>
            </w:r>
          </w:p>
        </w:tc>
        <w:tc>
          <w:tcPr>
            <w:tcW w:type="dxa" w:w="5198"/>
          </w:tcPr>
          <w:p>
            <w:pPr>
              <w:keepNext/>
              <w:spacing w:after="60"/>
              <w:jc w:val="right"/>
            </w:pPr>
            <w:r>
              <w:rPr>
                <w:rFonts w:ascii="Arial" w:hAnsi="Arial" w:eastAsia="MS Gothic"/>
                <w:b w:val="0"/>
                <w:i w:val="0"/>
                <w:color w:val="000000"/>
                <w:sz w:val="19"/>
              </w:rPr>
              <w:t>GPA: 3.8/4.0  |  Honors  |  Dean’s List  |  Tokyo Exchange</w:t>
            </w:r>
          </w:p>
        </w:tc>
      </w:tr>
    </w:tbl>
    <w:p>
      <w:pPr>
        <w:keepNext/>
        <w:spacing w:before="170" w:after="90"/>
        <w:pBdr>
          <w:bottom w:val="single" w:sz="6" w:space="2" w:color="000000"/>
        </w:pBdr>
      </w:pPr>
      <w:r>
        <w:rPr>
          <w:rFonts w:ascii="Arial" w:hAnsi="Arial" w:eastAsia="MS Gothic"/>
          <w:b/>
          <w:i w:val="0"/>
          <w:color w:val="1A3A5C"/>
          <w:sz w:val="23"/>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15" w:type="dxa"/>
          <w:left w:w="0" w:type="dxa"/>
          <w:bottom w:w="15" w:type="dxa"/>
          <w:right w:w="0" w:type="dxa"/>
        </w:tblCellMar>
      </w:tblPr>
      <w:tblGrid>
        <w:gridCol w:w="5155"/>
        <w:gridCol w:w="5155"/>
      </w:tblGrid>
      <w:tr>
        <w:trPr>
          <w:cantSplit/>
        </w:trPr>
        <w:tc>
          <w:tcPr>
            <w:tcW w:type="dxa" w:w="5832"/>
          </w:tcPr>
          <w:p>
            <w:pPr>
              <w:keepNext/>
              <w:spacing w:after="20"/>
            </w:pPr>
            <w:r>
              <w:rPr>
                <w:rFonts w:ascii="Arial" w:hAnsi="Arial" w:eastAsia="MS Gothic"/>
                <w:b/>
                <w:i w:val="0"/>
                <w:color w:val="000000"/>
                <w:sz w:val="20"/>
              </w:rPr>
              <w:t xml:space="preserve">Senior Software Engineer — </w:t>
            </w:r>
            <w:r>
              <w:rPr>
                <w:rFonts w:ascii="Arial" w:hAnsi="Arial" w:eastAsia="MS Gothic"/>
                <w:b/>
                <w:i/>
                <w:color w:val="000000"/>
                <w:sz w:val="20"/>
              </w:rPr>
              <w:t>Cloud Platform, Localization &amp; Infrastructure</w:t>
            </w:r>
          </w:p>
        </w:tc>
        <w:tc>
          <w:tcPr>
            <w:tcW w:type="dxa" w:w="4478"/>
          </w:tcPr>
          <w:p>
            <w:pPr>
              <w:keepNext/>
              <w:spacing w:after="20"/>
              <w:jc w:val="right"/>
            </w:pPr>
            <w:r>
              <w:rPr>
                <w:rFonts w:ascii="Arial" w:hAnsi="Arial" w:eastAsia="MS Gothic"/>
                <w:b w:val="0"/>
                <w:i/>
                <w:color w:val="000000"/>
                <w:sz w:val="19"/>
              </w:rPr>
              <w:t>Feb 2024 – Present</w:t>
            </w:r>
          </w:p>
        </w:tc>
      </w:tr>
      <w:tr>
        <w:trPr>
          <w:cantSplit/>
        </w:trPr>
        <w:tc>
          <w:tcPr>
            <w:tcW w:type="dxa" w:w="5832"/>
          </w:tcPr>
          <w:p>
            <w:pPr>
              <w:keepNext/>
              <w:spacing w:after="60"/>
            </w:pPr>
            <w:r>
              <w:rPr>
                <w:rFonts w:ascii="Arial" w:hAnsi="Arial" w:eastAsia="MS Gothic"/>
                <w:b w:val="0"/>
                <w:i w:val="0"/>
                <w:color w:val="000000"/>
                <w:sz w:val="19"/>
              </w:rPr>
              <w:t>Fortune 100 Technology Company — Remote (Nairobi, Kenya)</w:t>
            </w:r>
          </w:p>
        </w:tc>
        <w:tc>
          <w:tcPr>
            <w:tcW w:type="dxa" w:w="4478"/>
          </w:tcPr>
          <w:p>
            <w:pPr>
              <w:keepNext/>
              <w:spacing w:after="60"/>
              <w:jc w:val="right"/>
            </w:pPr>
            <w:r>
              <w:rPr>
                <w:rFonts w:ascii="Arial" w:hAnsi="Arial" w:eastAsia="MS Gothic"/>
                <w:b w:val="0"/>
                <w:i w:val="0"/>
                <w:color w:val="000000"/>
                <w:sz w:val="19"/>
              </w:rPr>
              <w:t>Python • Go • Java • TypeScript • AWS • Kubernetes</w:t>
            </w:r>
          </w:p>
        </w:tc>
      </w:tr>
    </w:tbl>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Led design and delivery of a multi-region, active-active service handling 30M+ requests/day with 99.99% uptime across North America, Tokyo (APAC), and Latin America.</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Reduced p99 latency from 780ms to 90ms by redesigning the caching layer and introducing async event pipelines.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Collaborated directly in Japanese (日本語) with Tokyo engineering teams and in Spanish (Español) with LATAM teams; authored 30+ ADRs, bilingual API specs, and localization standards across 7 teams.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Reviewed 1,400+ pull requests across Python, Go, Java, and TypeScript; introduced automated linting, contract tests, i18n encoding checks, and a code-review rubric adopted org-wide.</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Led multilingual AI code and language quality evaluations across English, Japanese, and Spanish prompts and developer docs, improving benchmark accuracy by 28%.</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Mentored 5 mid-level engineers across U.S., APAC, and LATAM teams; 2 promoted to senior within 18 months.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Migrated a 1.5M-line monolith to 15 bounded-context microservices with full English, Japanese, and Spanish locale support and zero downtime.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15" w:type="dxa"/>
          <w:left w:w="0" w:type="dxa"/>
          <w:bottom w:w="15" w:type="dxa"/>
          <w:right w:w="0" w:type="dxa"/>
        </w:tblCellMar>
      </w:tblPr>
      <w:tblGrid>
        <w:gridCol w:w="5155"/>
        <w:gridCol w:w="5155"/>
      </w:tblGrid>
      <w:tr>
        <w:trPr>
          <w:cantSplit/>
        </w:trPr>
        <w:tc>
          <w:tcPr>
            <w:tcW w:type="dxa" w:w="6264"/>
          </w:tcPr>
          <w:p>
            <w:pPr>
              <w:keepNext/>
              <w:spacing w:after="20"/>
            </w:pPr>
            <w:r>
              <w:rPr>
                <w:rFonts w:ascii="Arial" w:hAnsi="Arial" w:eastAsia="MS Gothic"/>
                <w:b/>
                <w:i w:val="0"/>
                <w:color w:val="000000"/>
                <w:sz w:val="20"/>
              </w:rPr>
              <w:t xml:space="preserve">Software Engineer — </w:t>
            </w:r>
            <w:r>
              <w:rPr>
                <w:rFonts w:ascii="Arial" w:hAnsi="Arial" w:eastAsia="MS Gothic"/>
                <w:b/>
                <w:i/>
                <w:color w:val="000000"/>
                <w:sz w:val="20"/>
              </w:rPr>
              <w:t>Backend, Multilingual Search &amp; Distributed Systems</w:t>
            </w:r>
          </w:p>
        </w:tc>
        <w:tc>
          <w:tcPr>
            <w:tcW w:type="dxa" w:w="4046"/>
          </w:tcPr>
          <w:p>
            <w:pPr>
              <w:keepNext/>
              <w:spacing w:after="20"/>
              <w:jc w:val="right"/>
            </w:pPr>
            <w:r>
              <w:rPr>
                <w:rFonts w:ascii="Arial" w:hAnsi="Arial" w:eastAsia="MS Gothic"/>
                <w:b w:val="0"/>
                <w:i/>
                <w:color w:val="000000"/>
                <w:sz w:val="19"/>
              </w:rPr>
              <w:t>Aug 2022 – Jan 2024</w:t>
            </w:r>
          </w:p>
        </w:tc>
      </w:tr>
      <w:tr>
        <w:trPr>
          <w:cantSplit/>
        </w:trPr>
        <w:tc>
          <w:tcPr>
            <w:tcW w:type="dxa" w:w="6264"/>
          </w:tcPr>
          <w:p>
            <w:pPr>
              <w:keepNext/>
              <w:spacing w:after="60"/>
            </w:pPr>
            <w:r>
              <w:rPr>
                <w:rFonts w:ascii="Arial" w:hAnsi="Arial" w:eastAsia="MS Gothic"/>
                <w:b w:val="0"/>
                <w:i w:val="0"/>
                <w:color w:val="000000"/>
                <w:sz w:val="19"/>
              </w:rPr>
              <w:t>Top-Tier Consumer Technology Company, Seattle, WA, USA (OPT)</w:t>
            </w:r>
          </w:p>
        </w:tc>
        <w:tc>
          <w:tcPr>
            <w:tcW w:type="dxa" w:w="4046"/>
          </w:tcPr>
          <w:p>
            <w:pPr>
              <w:keepNext/>
              <w:spacing w:after="60"/>
              <w:jc w:val="right"/>
            </w:pPr>
            <w:r>
              <w:rPr>
                <w:rFonts w:ascii="Arial" w:hAnsi="Arial" w:eastAsia="MS Gothic"/>
                <w:b w:val="0"/>
                <w:i w:val="0"/>
                <w:color w:val="000000"/>
                <w:sz w:val="19"/>
              </w:rPr>
              <w:t>Go • Java • Python • Kafka • PostgreSQL</w:t>
            </w:r>
          </w:p>
        </w:tc>
      </w:tr>
    </w:tbl>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Designed a distributed job scheduler and multilingual indexing pipeline processing 2B+ tasks/month with exactly-once semantics for English, Japanese (形態素解析 / CJK tokenization), and Spanish streams.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Built, localized, and documented developer tooling across Japanese, Spanish, and English used by 50,000+ global engineers.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Debugged and fixed 150+ production incidents, including subtle race conditions and multi-byte Japanese/Spanish Unicode normalization issues.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Implemented performance optimizations that reduced cloud infrastructure cost by 35%.</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Contributed to open-source SDKs (Go, TypeScript) with multilingual EN/JA/ES documentation and 3,000+ GitHub stars combined.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15" w:type="dxa"/>
          <w:left w:w="0" w:type="dxa"/>
          <w:bottom w:w="15" w:type="dxa"/>
          <w:right w:w="0" w:type="dxa"/>
        </w:tblCellMar>
      </w:tblPr>
      <w:tblGrid>
        <w:gridCol w:w="5155"/>
        <w:gridCol w:w="5155"/>
      </w:tblGrid>
      <w:tr>
        <w:trPr>
          <w:cantSplit/>
        </w:trPr>
        <w:tc>
          <w:tcPr>
            <w:tcW w:type="dxa" w:w="6264"/>
          </w:tcPr>
          <w:p>
            <w:pPr>
              <w:keepNext/>
              <w:spacing w:after="20"/>
            </w:pPr>
            <w:r>
              <w:rPr>
                <w:rFonts w:ascii="Arial" w:hAnsi="Arial" w:eastAsia="MS Gothic"/>
                <w:b/>
                <w:i w:val="0"/>
                <w:color w:val="000000"/>
                <w:sz w:val="20"/>
              </w:rPr>
              <w:t xml:space="preserve">Software Engineer — </w:t>
            </w:r>
            <w:r>
              <w:rPr>
                <w:rFonts w:ascii="Arial" w:hAnsi="Arial" w:eastAsia="MS Gothic"/>
                <w:b/>
                <w:i/>
                <w:color w:val="000000"/>
                <w:sz w:val="20"/>
              </w:rPr>
              <w:t>Multilingual Platform &amp; Data Systems</w:t>
            </w:r>
          </w:p>
        </w:tc>
        <w:tc>
          <w:tcPr>
            <w:tcW w:type="dxa" w:w="4046"/>
          </w:tcPr>
          <w:p>
            <w:pPr>
              <w:keepNext/>
              <w:spacing w:after="20"/>
              <w:jc w:val="right"/>
            </w:pPr>
            <w:r>
              <w:rPr>
                <w:rFonts w:ascii="Arial" w:hAnsi="Arial" w:eastAsia="MS Gothic"/>
                <w:b w:val="0"/>
                <w:i/>
                <w:color w:val="000000"/>
                <w:sz w:val="19"/>
              </w:rPr>
              <w:t>Oct 2021 – Jul 2022</w:t>
            </w:r>
          </w:p>
        </w:tc>
      </w:tr>
      <w:tr>
        <w:trPr>
          <w:cantSplit/>
        </w:trPr>
        <w:tc>
          <w:tcPr>
            <w:tcW w:type="dxa" w:w="6264"/>
          </w:tcPr>
          <w:p>
            <w:pPr>
              <w:keepNext/>
              <w:spacing w:after="60"/>
            </w:pPr>
            <w:r>
              <w:rPr>
                <w:rFonts w:ascii="Arial" w:hAnsi="Arial" w:eastAsia="MS Gothic"/>
                <w:b w:val="0"/>
                <w:i w:val="0"/>
                <w:color w:val="000000"/>
                <w:sz w:val="19"/>
              </w:rPr>
              <w:t>High-Growth SaaS Company, Austin, TX, USA (U.S. Post-Grad)</w:t>
            </w:r>
          </w:p>
        </w:tc>
        <w:tc>
          <w:tcPr>
            <w:tcW w:type="dxa" w:w="4046"/>
          </w:tcPr>
          <w:p>
            <w:pPr>
              <w:keepNext/>
              <w:spacing w:after="60"/>
              <w:jc w:val="right"/>
            </w:pPr>
            <w:r>
              <w:rPr>
                <w:rFonts w:ascii="Arial" w:hAnsi="Arial" w:eastAsia="MS Gothic"/>
                <w:b w:val="0"/>
                <w:i w:val="0"/>
                <w:color w:val="000000"/>
                <w:sz w:val="19"/>
              </w:rPr>
              <w:t>Python • Java • TypeScript • AWS</w:t>
            </w:r>
          </w:p>
        </w:tc>
      </w:tr>
    </w:tbl>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Built backend APIs, localization workflows, and data pipelines supporting 500K+ monthly active users across English-, Japanese-, and Spanish-speaking markets.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Implemented graph-based cross-lingual entity resolution algorithms across 10M+ records spanning Japanese kanji/kana, Spanish diacritics, and English.</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Handled EN–JA and EN–ES technical documentation translation, localization QA, and enterprise technical escalations for clients in Japan and Latin America.</w:t>
      </w:r>
    </w:p>
    <w:p>
      <w:pPr>
        <w:keepNext/>
        <w:spacing w:before="170" w:after="90"/>
        <w:pBdr>
          <w:bottom w:val="single" w:sz="6" w:space="2" w:color="000000"/>
        </w:pBdr>
      </w:pPr>
      <w:r>
        <w:rPr>
          <w:rFonts w:ascii="Arial" w:hAnsi="Arial" w:eastAsia="MS Gothic"/>
          <w:b/>
          <w:i w:val="0"/>
          <w:color w:val="1A3A5C"/>
          <w:sz w:val="23"/>
        </w:rPr>
        <w:t>SELECTED PROJECTS &amp; ENGINEERING CONTRIBUTIONS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Distributed Rate Limiter: </w:t>
      </w:r>
      <w:r>
        <w:rPr>
          <w:rFonts w:ascii="Arial" w:hAnsi="Arial" w:eastAsia="MS Gothic"/>
          <w:b w:val="0"/>
          <w:i w:val="0"/>
          <w:color w:val="000000"/>
          <w:sz w:val="20"/>
        </w:rPr>
        <w:t>Redis-backed sliding-window rate limiter in Go, handling 500K req/s with sub-millisecond overhead; open-sourced with English and Japanese documentation and 1,500+ stars.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Event-Driven Ledger: </w:t>
      </w:r>
      <w:r>
        <w:rPr>
          <w:rFonts w:ascii="Arial" w:hAnsi="Arial" w:eastAsia="MS Gothic"/>
          <w:b w:val="0"/>
          <w:i w:val="0"/>
          <w:color w:val="000000"/>
          <w:sz w:val="20"/>
        </w:rPr>
        <w:t>Kafka-based immutable ledger with exactly-once processing and full auditability for multi-currency regulated workloads (USD, JPY, EUR/LATAM).</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Algorithmic Problem Library: </w:t>
      </w:r>
      <w:r>
        <w:rPr>
          <w:rFonts w:ascii="Arial" w:hAnsi="Arial" w:eastAsia="MS Gothic"/>
          <w:b w:val="0"/>
          <w:i w:val="0"/>
          <w:color w:val="000000"/>
          <w:sz w:val="20"/>
        </w:rPr>
        <w:t>Authored 200+ original coding problems (graphs, DP, concurrency, systems) with reference solutions, complexity analysis, and edge-case tests.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Multilingual AI &amp; Code Review Benchmark: </w:t>
      </w:r>
      <w:r>
        <w:rPr>
          <w:rFonts w:ascii="Arial" w:hAnsi="Arial" w:eastAsia="MS Gothic"/>
          <w:b w:val="0"/>
          <w:i w:val="0"/>
          <w:color w:val="000000"/>
          <w:sz w:val="20"/>
        </w:rPr>
        <w:t>Built an internal benchmark of 250 real-world code-review and technical translation scenarios across English, Japanese, and Spanish used to evaluate LLM quality.</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 xml:space="preserve">Monolith-to-Microservices Migration: </w:t>
      </w:r>
      <w:r>
        <w:rPr>
          <w:rFonts w:ascii="Arial" w:hAnsi="Arial" w:eastAsia="MS Gothic"/>
          <w:b w:val="0"/>
          <w:i w:val="0"/>
          <w:color w:val="000000"/>
          <w:sz w:val="20"/>
        </w:rPr>
        <w:t>Led incremental migration of a 1.5M-line monolith to 15 bounded-context services with full English, Japanese, and Spanish localization and zero downtime.</w:t>
      </w:r>
    </w:p>
    <w:p>
      <w:pPr>
        <w:keepNext/>
        <w:spacing w:before="170" w:after="90"/>
        <w:pBdr>
          <w:bottom w:val="single" w:sz="6" w:space="2" w:color="000000"/>
        </w:pBdr>
      </w:pPr>
      <w:r>
        <w:rPr>
          <w:rFonts w:ascii="Arial" w:hAnsi="Arial" w:eastAsia="MS Gothic"/>
          <w:b/>
          <w:i w:val="0"/>
          <w:color w:val="1A3A5C"/>
          <w:sz w:val="23"/>
        </w:rPr>
        <w:t>TECHNICAL SKILLS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15" w:type="dxa"/>
          <w:left w:w="0" w:type="dxa"/>
          <w:bottom w:w="15" w:type="dxa"/>
          <w:right w:w="0" w:type="dxa"/>
        </w:tblCellMar>
      </w:tblPr>
      <w:tblGrid>
        <w:gridCol w:w="5155"/>
        <w:gridCol w:w="5155"/>
      </w:tblGrid>
      <w:tr>
        <w:tc>
          <w:tcPr>
            <w:tcW w:type="dxa" w:w="5155"/>
          </w:tcPr>
          <w:p>
            <w:pPr>
              <w:spacing w:after="40"/>
            </w:pPr>
            <w:r>
              <w:rPr>
                <w:rFonts w:ascii="Arial" w:hAnsi="Arial" w:eastAsia="MS Gothic"/>
                <w:b w:val="0"/>
                <w:i w:val="0"/>
                <w:color w:val="000000"/>
                <w:sz w:val="19"/>
              </w:rPr>
              <w:t xml:space="preserve">•  </w:t>
            </w:r>
            <w:r>
              <w:rPr>
                <w:rFonts w:ascii="Arial" w:hAnsi="Arial" w:eastAsia="MS Gothic"/>
                <w:b/>
                <w:i w:val="0"/>
                <w:color w:val="000000"/>
                <w:sz w:val="19"/>
              </w:rPr>
              <w:t xml:space="preserve">Programming: </w:t>
            </w:r>
            <w:r>
              <w:rPr>
                <w:rFonts w:ascii="Arial" w:hAnsi="Arial" w:eastAsia="MS Gothic"/>
                <w:b w:val="0"/>
                <w:i w:val="0"/>
                <w:color w:val="000000"/>
                <w:sz w:val="19"/>
              </w:rPr>
              <w:t>Python, Go, Java, TypeScript, JavaScript, Rust (working), C#, SQL</w:t>
            </w:r>
          </w:p>
        </w:tc>
        <w:tc>
          <w:tcPr>
            <w:tcW w:type="dxa" w:w="5155"/>
          </w:tcPr>
          <w:p>
            <w:pPr>
              <w:spacing w:after="40"/>
            </w:pPr>
            <w:r>
              <w:rPr>
                <w:rFonts w:ascii="Arial" w:hAnsi="Arial" w:eastAsia="MS Gothic"/>
                <w:b w:val="0"/>
                <w:i w:val="0"/>
                <w:color w:val="000000"/>
                <w:sz w:val="19"/>
              </w:rPr>
              <w:t xml:space="preserve">   •  </w:t>
            </w:r>
            <w:r>
              <w:rPr>
                <w:rFonts w:ascii="Arial" w:hAnsi="Arial" w:eastAsia="MS Gothic"/>
                <w:b/>
                <w:i w:val="0"/>
                <w:color w:val="000000"/>
                <w:sz w:val="19"/>
              </w:rPr>
              <w:t xml:space="preserve">Databases: </w:t>
            </w:r>
            <w:r>
              <w:rPr>
                <w:rFonts w:ascii="Arial" w:hAnsi="Arial" w:eastAsia="MS Gothic"/>
                <w:b w:val="0"/>
                <w:i w:val="0"/>
                <w:color w:val="000000"/>
                <w:sz w:val="19"/>
              </w:rPr>
              <w:t>PostgreSQL, MySQL, Redis, Cassandra, DynamoDB</w:t>
            </w:r>
          </w:p>
        </w:tc>
      </w:tr>
      <w:tr>
        <w:tc>
          <w:tcPr>
            <w:tcW w:type="dxa" w:w="5155"/>
          </w:tcPr>
          <w:p>
            <w:pPr>
              <w:spacing w:after="40"/>
            </w:pPr>
            <w:r>
              <w:rPr>
                <w:rFonts w:ascii="Arial" w:hAnsi="Arial" w:eastAsia="MS Gothic"/>
                <w:b w:val="0"/>
                <w:i w:val="0"/>
                <w:color w:val="000000"/>
                <w:sz w:val="19"/>
              </w:rPr>
              <w:t xml:space="preserve">•  </w:t>
            </w:r>
            <w:r>
              <w:rPr>
                <w:rFonts w:ascii="Arial" w:hAnsi="Arial" w:eastAsia="MS Gothic"/>
                <w:b/>
                <w:i w:val="0"/>
                <w:color w:val="000000"/>
                <w:sz w:val="19"/>
              </w:rPr>
              <w:t xml:space="preserve">Spoken Languages: </w:t>
            </w:r>
            <w:r>
              <w:rPr>
                <w:rFonts w:ascii="Arial" w:hAnsi="Arial" w:eastAsia="MS Gothic"/>
                <w:b w:val="0"/>
                <w:i w:val="0"/>
                <w:color w:val="000000"/>
                <w:sz w:val="19"/>
              </w:rPr>
              <w:t>English (Native), Japanese / 日本語 (JLPT N1), Spanish (DELE C1)</w:t>
            </w:r>
          </w:p>
        </w:tc>
        <w:tc>
          <w:tcPr>
            <w:tcW w:type="dxa" w:w="5155"/>
          </w:tcPr>
          <w:p>
            <w:pPr>
              <w:spacing w:after="40"/>
            </w:pPr>
            <w:r>
              <w:rPr>
                <w:rFonts w:ascii="Arial" w:hAnsi="Arial" w:eastAsia="MS Gothic"/>
                <w:b w:val="0"/>
                <w:i w:val="0"/>
                <w:color w:val="000000"/>
                <w:sz w:val="19"/>
              </w:rPr>
              <w:t xml:space="preserve">   •  </w:t>
            </w:r>
            <w:r>
              <w:rPr>
                <w:rFonts w:ascii="Arial" w:hAnsi="Arial" w:eastAsia="MS Gothic"/>
                <w:b/>
                <w:i w:val="0"/>
                <w:color w:val="000000"/>
                <w:sz w:val="19"/>
              </w:rPr>
              <w:t xml:space="preserve">Messaging: </w:t>
            </w:r>
            <w:r>
              <w:rPr>
                <w:rFonts w:ascii="Arial" w:hAnsi="Arial" w:eastAsia="MS Gothic"/>
                <w:b w:val="0"/>
                <w:i w:val="0"/>
                <w:color w:val="000000"/>
                <w:sz w:val="19"/>
              </w:rPr>
              <w:t>Kafka, RabbitMQ, NATS, gRPC, REST, GraphQL</w:t>
            </w:r>
          </w:p>
        </w:tc>
      </w:tr>
      <w:tr>
        <w:tc>
          <w:tcPr>
            <w:tcW w:type="dxa" w:w="5155"/>
          </w:tcPr>
          <w:p>
            <w:pPr>
              <w:spacing w:after="40"/>
            </w:pPr>
            <w:r>
              <w:rPr>
                <w:rFonts w:ascii="Arial" w:hAnsi="Arial" w:eastAsia="MS Gothic"/>
                <w:b w:val="0"/>
                <w:i w:val="0"/>
                <w:color w:val="000000"/>
                <w:sz w:val="19"/>
              </w:rPr>
              <w:t xml:space="preserve">•  </w:t>
            </w:r>
            <w:r>
              <w:rPr>
                <w:rFonts w:ascii="Arial" w:hAnsi="Arial" w:eastAsia="MS Gothic"/>
                <w:b/>
                <w:i w:val="0"/>
                <w:color w:val="000000"/>
                <w:sz w:val="19"/>
              </w:rPr>
              <w:t xml:space="preserve">System Design: </w:t>
            </w:r>
            <w:r>
              <w:rPr>
                <w:rFonts w:ascii="Arial" w:hAnsi="Arial" w:eastAsia="MS Gothic"/>
                <w:b w:val="0"/>
                <w:i w:val="0"/>
                <w:color w:val="000000"/>
                <w:sz w:val="19"/>
              </w:rPr>
              <w:t>Microservices, event-driven, CQRS, saga, DDD</w:t>
            </w:r>
          </w:p>
        </w:tc>
        <w:tc>
          <w:tcPr>
            <w:tcW w:type="dxa" w:w="5155"/>
          </w:tcPr>
          <w:p>
            <w:pPr>
              <w:spacing w:after="40"/>
            </w:pPr>
            <w:r>
              <w:rPr>
                <w:rFonts w:ascii="Arial" w:hAnsi="Arial" w:eastAsia="MS Gothic"/>
                <w:b w:val="0"/>
                <w:i w:val="0"/>
                <w:color w:val="000000"/>
                <w:sz w:val="19"/>
              </w:rPr>
              <w:t xml:space="preserve">   •  </w:t>
            </w:r>
            <w:r>
              <w:rPr>
                <w:rFonts w:ascii="Arial" w:hAnsi="Arial" w:eastAsia="MS Gothic"/>
                <w:b/>
                <w:i w:val="0"/>
                <w:color w:val="000000"/>
                <w:sz w:val="19"/>
              </w:rPr>
              <w:t xml:space="preserve">Cloud &amp; Infra: </w:t>
            </w:r>
            <w:r>
              <w:rPr>
                <w:rFonts w:ascii="Arial" w:hAnsi="Arial" w:eastAsia="MS Gothic"/>
                <w:b w:val="0"/>
                <w:i w:val="0"/>
                <w:color w:val="000000"/>
                <w:sz w:val="19"/>
              </w:rPr>
              <w:t>AWS, GCP, Azure, Kubernetes, Docker, Terraform</w:t>
            </w:r>
          </w:p>
        </w:tc>
      </w:tr>
      <w:tr>
        <w:tc>
          <w:tcPr>
            <w:tcW w:type="dxa" w:w="5155"/>
          </w:tcPr>
          <w:p>
            <w:pPr>
              <w:spacing w:after="40"/>
            </w:pPr>
            <w:r>
              <w:rPr>
                <w:rFonts w:ascii="Arial" w:hAnsi="Arial" w:eastAsia="MS Gothic"/>
                <w:b w:val="0"/>
                <w:i w:val="0"/>
                <w:color w:val="000000"/>
                <w:sz w:val="19"/>
              </w:rPr>
              <w:t xml:space="preserve">•  </w:t>
            </w:r>
            <w:r>
              <w:rPr>
                <w:rFonts w:ascii="Arial" w:hAnsi="Arial" w:eastAsia="MS Gothic"/>
                <w:b/>
                <w:i w:val="0"/>
                <w:color w:val="000000"/>
                <w:sz w:val="19"/>
              </w:rPr>
              <w:t xml:space="preserve">Localization &amp; NLP: </w:t>
            </w:r>
            <w:r>
              <w:rPr>
                <w:rFonts w:ascii="Arial" w:hAnsi="Arial" w:eastAsia="MS Gothic"/>
                <w:b w:val="0"/>
                <w:i w:val="0"/>
                <w:color w:val="000000"/>
                <w:sz w:val="19"/>
              </w:rPr>
              <w:t>i18n/L10n, EN–JA &amp; EN–ES translation, CJK tokenization, UTF-8/Shift-JIS</w:t>
            </w:r>
          </w:p>
        </w:tc>
        <w:tc>
          <w:tcPr>
            <w:tcW w:type="dxa" w:w="5155"/>
          </w:tcPr>
          <w:p>
            <w:pPr>
              <w:spacing w:after="40"/>
            </w:pPr>
            <w:r>
              <w:rPr>
                <w:rFonts w:ascii="Arial" w:hAnsi="Arial" w:eastAsia="MS Gothic"/>
                <w:b w:val="0"/>
                <w:i w:val="0"/>
                <w:color w:val="000000"/>
                <w:sz w:val="19"/>
              </w:rPr>
              <w:t xml:space="preserve">   •  </w:t>
            </w:r>
            <w:r>
              <w:rPr>
                <w:rFonts w:ascii="Arial" w:hAnsi="Arial" w:eastAsia="MS Gothic"/>
                <w:b/>
                <w:i w:val="0"/>
                <w:color w:val="000000"/>
                <w:sz w:val="19"/>
              </w:rPr>
              <w:t xml:space="preserve">Observability: </w:t>
            </w:r>
            <w:r>
              <w:rPr>
                <w:rFonts w:ascii="Arial" w:hAnsi="Arial" w:eastAsia="MS Gothic"/>
                <w:b w:val="0"/>
                <w:i w:val="0"/>
                <w:color w:val="000000"/>
                <w:sz w:val="19"/>
              </w:rPr>
              <w:t>Prometheus, Grafana, OpenTelemetry, Datadog</w:t>
            </w:r>
          </w:p>
        </w:tc>
      </w:tr>
      <w:tr>
        <w:tc>
          <w:tcPr>
            <w:tcW w:type="dxa" w:w="5155"/>
          </w:tcPr>
          <w:p>
            <w:pPr>
              <w:spacing w:after="40"/>
            </w:pPr>
            <w:r>
              <w:rPr>
                <w:rFonts w:ascii="Arial" w:hAnsi="Arial" w:eastAsia="MS Gothic"/>
                <w:b w:val="0"/>
                <w:i w:val="0"/>
                <w:color w:val="000000"/>
                <w:sz w:val="19"/>
              </w:rPr>
              <w:t xml:space="preserve">•  </w:t>
            </w:r>
            <w:r>
              <w:rPr>
                <w:rFonts w:ascii="Arial" w:hAnsi="Arial" w:eastAsia="MS Gothic"/>
                <w:b/>
                <w:i w:val="0"/>
                <w:color w:val="000000"/>
                <w:sz w:val="19"/>
              </w:rPr>
              <w:t xml:space="preserve">Architecture: </w:t>
            </w:r>
            <w:r>
              <w:rPr>
                <w:rFonts w:ascii="Arial" w:hAnsi="Arial" w:eastAsia="MS Gothic"/>
                <w:b w:val="0"/>
                <w:i w:val="0"/>
                <w:color w:val="000000"/>
                <w:sz w:val="19"/>
              </w:rPr>
              <w:t>Distributed systems, CAP, consistency models, ADRs</w:t>
            </w:r>
          </w:p>
        </w:tc>
        <w:tc>
          <w:tcPr>
            <w:tcW w:type="dxa" w:w="5155"/>
          </w:tcPr>
          <w:p>
            <w:pPr>
              <w:spacing w:after="40"/>
            </w:pPr>
            <w:r>
              <w:rPr>
                <w:rFonts w:ascii="Arial" w:hAnsi="Arial" w:eastAsia="MS Gothic"/>
                <w:b w:val="0"/>
                <w:i w:val="0"/>
                <w:color w:val="000000"/>
                <w:sz w:val="19"/>
              </w:rPr>
              <w:t xml:space="preserve">   •  </w:t>
            </w:r>
            <w:r>
              <w:rPr>
                <w:rFonts w:ascii="Arial" w:hAnsi="Arial" w:eastAsia="MS Gothic"/>
                <w:b/>
                <w:i w:val="0"/>
                <w:color w:val="000000"/>
                <w:sz w:val="19"/>
              </w:rPr>
              <w:t xml:space="preserve">Testing &amp; CI/CD: </w:t>
            </w:r>
            <w:r>
              <w:rPr>
                <w:rFonts w:ascii="Arial" w:hAnsi="Arial" w:eastAsia="MS Gothic"/>
                <w:b w:val="0"/>
                <w:i w:val="0"/>
                <w:color w:val="000000"/>
                <w:sz w:val="19"/>
              </w:rPr>
              <w:t>Unit, contract, property-based, locale QA, GitHub Actions, ArgoCD</w:t>
            </w:r>
          </w:p>
        </w:tc>
      </w:tr>
      <w:tr>
        <w:tc>
          <w:tcPr>
            <w:tcW w:type="dxa" w:w="5155"/>
          </w:tcPr>
          <w:p>
            <w:pPr>
              <w:spacing w:after="40"/>
            </w:pPr>
            <w:r>
              <w:rPr>
                <w:rFonts w:ascii="Arial" w:hAnsi="Arial" w:eastAsia="MS Gothic"/>
                <w:b w:val="0"/>
                <w:i w:val="0"/>
                <w:color w:val="000000"/>
                <w:sz w:val="19"/>
              </w:rPr>
              <w:t xml:space="preserve">•  </w:t>
            </w:r>
            <w:r>
              <w:rPr>
                <w:rFonts w:ascii="Arial" w:hAnsi="Arial" w:eastAsia="MS Gothic"/>
                <w:b/>
                <w:i w:val="0"/>
                <w:color w:val="000000"/>
                <w:sz w:val="19"/>
              </w:rPr>
              <w:t xml:space="preserve">Algorithms &amp; Data: </w:t>
            </w:r>
            <w:r>
              <w:rPr>
                <w:rFonts w:ascii="Arial" w:hAnsi="Arial" w:eastAsia="MS Gothic"/>
                <w:b w:val="0"/>
                <w:i w:val="0"/>
                <w:color w:val="000000"/>
                <w:sz w:val="19"/>
              </w:rPr>
              <w:t>Trees, graphs, heaps, tries, bloom filters, DP, concurrency</w:t>
            </w:r>
          </w:p>
        </w:tc>
        <w:tc>
          <w:tcPr>
            <w:tcW w:type="dxa" w:w="5155"/>
          </w:tcPr>
          <w:p>
            <w:pPr>
              <w:spacing w:after="40"/>
            </w:pPr>
            <w:r>
              <w:rPr>
                <w:rFonts w:ascii="Arial" w:hAnsi="Arial" w:eastAsia="MS Gothic"/>
                <w:b w:val="0"/>
                <w:i w:val="0"/>
                <w:color w:val="000000"/>
                <w:sz w:val="19"/>
              </w:rPr>
              <w:t xml:space="preserve">   •  </w:t>
            </w:r>
            <w:r>
              <w:rPr>
                <w:rFonts w:ascii="Arial" w:hAnsi="Arial" w:eastAsia="MS Gothic"/>
                <w:b/>
                <w:i w:val="0"/>
                <w:color w:val="000000"/>
                <w:sz w:val="19"/>
              </w:rPr>
              <w:t xml:space="preserve">Code &amp; AI Review: </w:t>
            </w:r>
            <w:r>
              <w:rPr>
                <w:rFonts w:ascii="Arial" w:hAnsi="Arial" w:eastAsia="MS Gothic"/>
                <w:b w:val="0"/>
                <w:i w:val="0"/>
                <w:color w:val="000000"/>
                <w:sz w:val="19"/>
              </w:rPr>
              <w:t>Rubric design, RLHF/SFT evaluation, mentorship, secure coding</w:t>
            </w:r>
          </w:p>
        </w:tc>
      </w:tr>
    </w:tbl>
    <w:p>
      <w:pPr>
        <w:keepNext/>
        <w:spacing w:before="170" w:after="90"/>
        <w:pBdr>
          <w:bottom w:val="single" w:sz="6" w:space="2" w:color="000000"/>
        </w:pBdr>
      </w:pPr>
      <w:r>
        <w:rPr>
          <w:rFonts w:ascii="Arial" w:hAnsi="Arial" w:eastAsia="MS Gothic"/>
          <w:b/>
          <w:i w:val="0"/>
          <w:color w:val="1A3A5C"/>
          <w:sz w:val="23"/>
        </w:rPr>
        <w:t>CERTIFICATIONS &amp; TRAINING</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Japanese-Language Proficiency Test — JLPT N1 (Highest Level)</w:t>
      </w:r>
      <w:r>
        <w:rPr>
          <w:rFonts w:ascii="Arial" w:hAnsi="Arial" w:eastAsia="MS Gothic"/>
          <w:b w:val="0"/>
          <w:i w:val="0"/>
          <w:color w:val="000000"/>
          <w:sz w:val="20"/>
        </w:rPr>
        <w:t xml:space="preserve"> — Japan Foundation / JEES, 2022</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DELE C1 — Diploma de Español como Lengua Extranjera</w:t>
      </w:r>
      <w:r>
        <w:rPr>
          <w:rFonts w:ascii="Arial" w:hAnsi="Arial" w:eastAsia="MS Gothic"/>
          <w:b w:val="0"/>
          <w:i w:val="0"/>
          <w:color w:val="000000"/>
          <w:sz w:val="20"/>
        </w:rPr>
        <w:t xml:space="preserve"> — Instituto Cervantes, 2021</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AWS Certified Solutions Architect — Professional</w:t>
      </w:r>
      <w:r>
        <w:rPr>
          <w:rFonts w:ascii="Arial" w:hAnsi="Arial" w:eastAsia="MS Gothic"/>
          <w:b w:val="0"/>
          <w:i w:val="0"/>
          <w:color w:val="000000"/>
          <w:sz w:val="20"/>
        </w:rPr>
        <w:t xml:space="preserve"> — Amazon Web Services, 2024</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AI Ethics, Multilingual NLP &amp; Responsible AI</w:t>
      </w:r>
      <w:r>
        <w:rPr>
          <w:rFonts w:ascii="Arial" w:hAnsi="Arial" w:eastAsia="MS Gothic"/>
          <w:b w:val="0"/>
          <w:i w:val="0"/>
          <w:color w:val="000000"/>
          <w:sz w:val="20"/>
        </w:rPr>
        <w:t xml:space="preserve"> — Coursera / DeepLearning.AI, 2024</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Certified Kubernetes Administrator (CKA)</w:t>
      </w:r>
      <w:r>
        <w:rPr>
          <w:rFonts w:ascii="Arial" w:hAnsi="Arial" w:eastAsia="MS Gothic"/>
          <w:b w:val="0"/>
          <w:i w:val="0"/>
          <w:color w:val="000000"/>
          <w:sz w:val="20"/>
        </w:rPr>
        <w:t xml:space="preserve"> — CNCF, 2023</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Google Cloud Professional Cloud Architect</w:t>
      </w:r>
      <w:r>
        <w:rPr>
          <w:rFonts w:ascii="Arial" w:hAnsi="Arial" w:eastAsia="MS Gothic"/>
          <w:b w:val="0"/>
          <w:i w:val="0"/>
          <w:color w:val="000000"/>
          <w:sz w:val="20"/>
        </w:rPr>
        <w:t xml:space="preserve"> — Google Cloud, 2023</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Azure Solutions Architect Expert</w:t>
      </w:r>
      <w:r>
        <w:rPr>
          <w:rFonts w:ascii="Arial" w:hAnsi="Arial" w:eastAsia="MS Gothic"/>
          <w:b w:val="0"/>
          <w:i w:val="0"/>
          <w:color w:val="000000"/>
          <w:sz w:val="20"/>
        </w:rPr>
        <w:t xml:space="preserve"> — Microsoft, 2022</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Confluent Certified Developer for Apache Kafka</w:t>
      </w:r>
      <w:r>
        <w:rPr>
          <w:rFonts w:ascii="Arial" w:hAnsi="Arial" w:eastAsia="MS Gothic"/>
          <w:b w:val="0"/>
          <w:i w:val="0"/>
          <w:color w:val="000000"/>
          <w:sz w:val="20"/>
        </w:rPr>
        <w:t xml:space="preserve"> — Confluent, 2022</w:t>
      </w:r>
    </w:p>
    <w:p>
      <w:pPr>
        <w:keepNext/>
        <w:spacing w:before="170" w:after="90"/>
        <w:pBdr>
          <w:bottom w:val="single" w:sz="6" w:space="2" w:color="000000"/>
        </w:pBdr>
      </w:pPr>
      <w:r>
        <w:rPr>
          <w:rFonts w:ascii="Arial" w:hAnsi="Arial" w:eastAsia="MS Gothic"/>
          <w:b/>
          <w:i w:val="0"/>
          <w:color w:val="1A3A5C"/>
          <w:sz w:val="23"/>
        </w:rPr>
        <w:t>PUBLICATIONS &amp; TALKS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 xml:space="preserve">Renae, P. M., &amp; Chen, L. “Latency-Aware Scheduling for Multi-Region Microservices.” </w:t>
      </w:r>
      <w:r>
        <w:rPr>
          <w:rFonts w:ascii="Arial" w:hAnsi="Arial" w:eastAsia="MS Gothic"/>
          <w:b w:val="0"/>
          <w:i/>
          <w:color w:val="000000"/>
          <w:sz w:val="20"/>
        </w:rPr>
        <w:t>IEEE International Conference on Cloud Computing</w:t>
      </w:r>
      <w:r>
        <w:rPr>
          <w:rFonts w:ascii="Arial" w:hAnsi="Arial" w:eastAsia="MS Gothic"/>
          <w:b w:val="0"/>
          <w:i w:val="0"/>
          <w:color w:val="000000"/>
          <w:sz w:val="20"/>
        </w:rPr>
        <w:t>, 2024.</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 xml:space="preserve">Renae, P. M. “Exactly-Once Semantics in Practice: Lessons from 2B Tasks/Month.” Presented at </w:t>
      </w:r>
      <w:r>
        <w:rPr>
          <w:rFonts w:ascii="Arial" w:hAnsi="Arial" w:eastAsia="MS Gothic"/>
          <w:b w:val="0"/>
          <w:i/>
          <w:color w:val="000000"/>
          <w:sz w:val="20"/>
        </w:rPr>
        <w:t>Kafka Summit North America</w:t>
      </w:r>
      <w:r>
        <w:rPr>
          <w:rFonts w:ascii="Arial" w:hAnsi="Arial" w:eastAsia="MS Gothic"/>
          <w:b w:val="0"/>
          <w:i w:val="0"/>
          <w:color w:val="000000"/>
          <w:sz w:val="20"/>
        </w:rPr>
        <w:t>, Austin, TX, 2023.</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 xml:space="preserve">Renae, P. M. “Debugging Distributed Systems &amp; Multilingual Pipelines Without Losing Your Mind.” Presented at </w:t>
      </w:r>
      <w:r>
        <w:rPr>
          <w:rFonts w:ascii="Arial" w:hAnsi="Arial" w:eastAsia="MS Gothic"/>
          <w:b w:val="0"/>
          <w:i/>
          <w:color w:val="000000"/>
          <w:sz w:val="20"/>
        </w:rPr>
        <w:t>DevOps Days Austin</w:t>
      </w:r>
      <w:r>
        <w:rPr>
          <w:rFonts w:ascii="Arial" w:hAnsi="Arial" w:eastAsia="MS Gothic"/>
          <w:b w:val="0"/>
          <w:i w:val="0"/>
          <w:color w:val="000000"/>
          <w:sz w:val="20"/>
        </w:rPr>
        <w:t>, 2025.</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 xml:space="preserve">Renae, P. M., &amp; Patel, R. “Cross-Lingual Graph-Based Entity Resolution Across CJK and Latin Scripts.” </w:t>
      </w:r>
      <w:r>
        <w:rPr>
          <w:rFonts w:ascii="Arial" w:hAnsi="Arial" w:eastAsia="MS Gothic"/>
          <w:b w:val="0"/>
          <w:i/>
          <w:color w:val="000000"/>
          <w:sz w:val="20"/>
        </w:rPr>
        <w:t>ACM SIGMOD Workshop</w:t>
      </w:r>
      <w:r>
        <w:rPr>
          <w:rFonts w:ascii="Arial" w:hAnsi="Arial" w:eastAsia="MS Gothic"/>
          <w:b w:val="0"/>
          <w:i w:val="0"/>
          <w:color w:val="000000"/>
          <w:sz w:val="20"/>
        </w:rPr>
        <w:t>, 2022.</w:t>
      </w:r>
    </w:p>
    <w:p>
      <w:pPr>
        <w:keepNext/>
        <w:spacing w:before="170" w:after="90"/>
        <w:pBdr>
          <w:bottom w:val="single" w:sz="6" w:space="2" w:color="000000"/>
        </w:pBdr>
      </w:pPr>
      <w:r>
        <w:rPr>
          <w:rFonts w:ascii="Arial" w:hAnsi="Arial" w:eastAsia="MS Gothic"/>
          <w:b/>
          <w:i w:val="0"/>
          <w:color w:val="1A3A5C"/>
          <w:sz w:val="23"/>
        </w:rPr>
        <w:t>TEACHING &amp; MENTORSHIP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15" w:type="dxa"/>
          <w:left w:w="0" w:type="dxa"/>
          <w:bottom w:w="15" w:type="dxa"/>
          <w:right w:w="0" w:type="dxa"/>
        </w:tblCellMar>
      </w:tblPr>
      <w:tblGrid>
        <w:gridCol w:w="5155"/>
        <w:gridCol w:w="5155"/>
      </w:tblGrid>
      <w:tr>
        <w:trPr>
          <w:cantSplit/>
        </w:trPr>
        <w:tc>
          <w:tcPr>
            <w:tcW w:type="dxa" w:w="6696"/>
          </w:tcPr>
          <w:p>
            <w:pPr>
              <w:keepNext/>
              <w:spacing w:after="20"/>
            </w:pPr>
            <w:r>
              <w:rPr>
                <w:rFonts w:ascii="Arial" w:hAnsi="Arial" w:eastAsia="MS Gothic"/>
                <w:b/>
                <w:i w:val="0"/>
                <w:color w:val="000000"/>
                <w:sz w:val="20"/>
              </w:rPr>
              <w:t>Engineering Mentor &amp; Bilingual Design Review Lead</w:t>
            </w:r>
          </w:p>
        </w:tc>
        <w:tc>
          <w:tcPr>
            <w:tcW w:type="dxa" w:w="3614"/>
          </w:tcPr>
          <w:p>
            <w:pPr>
              <w:keepNext/>
              <w:spacing w:after="20"/>
              <w:jc w:val="right"/>
            </w:pPr>
            <w:r>
              <w:rPr>
                <w:rFonts w:ascii="Arial" w:hAnsi="Arial" w:eastAsia="MS Gothic"/>
                <w:b w:val="0"/>
                <w:i/>
                <w:color w:val="000000"/>
                <w:sz w:val="19"/>
              </w:rPr>
              <w:t>2024 – Present</w:t>
            </w:r>
          </w:p>
        </w:tc>
      </w:tr>
      <w:tr>
        <w:trPr>
          <w:cantSplit/>
        </w:trPr>
        <w:tc>
          <w:tcPr>
            <w:tcW w:type="dxa" w:w="6696"/>
          </w:tcPr>
          <w:p>
            <w:pPr>
              <w:keepNext/>
              <w:spacing w:after="60"/>
            </w:pPr>
            <w:r>
              <w:rPr>
                <w:rFonts w:ascii="Arial" w:hAnsi="Arial" w:eastAsia="MS Gothic"/>
                <w:b w:val="0"/>
                <w:i w:val="0"/>
                <w:color w:val="000000"/>
                <w:sz w:val="19"/>
              </w:rPr>
              <w:t>Fortune 100 Technology Company — Remote (Nairobi, Kenya)</w:t>
            </w:r>
          </w:p>
        </w:tc>
        <w:tc>
          <w:tcPr>
            <w:tcW w:type="dxa" w:w="3614"/>
          </w:tcPr>
          <w:p>
            <w:pPr>
              <w:keepNext/>
              <w:spacing w:after="60"/>
              <w:jc w:val="right"/>
            </w:pPr>
            <w:r>
              <w:rPr>
                <w:rFonts w:ascii="Arial" w:hAnsi="Arial" w:eastAsia="MS Gothic"/>
                <w:b w:val="0"/>
                <w:i w:val="0"/>
                <w:color w:val="000000"/>
                <w:sz w:val="19"/>
              </w:rPr>
              <w:t>Mentorship &amp; Training</w:t>
            </w:r>
          </w:p>
        </w:tc>
      </w:tr>
    </w:tbl>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Mentored 5 mid-level engineers across U.S., Tokyo, and LATAM teams; 2 promoted to senior within 18 months.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Ran bi-weekly “Design Deep Dive” sessions on system design, debugging, localization architecture, and code review.</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Authored 30+ ADRs and the org-wide code-review and i18n quality rubric across English, Japanese, and Spanish engineering groups.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15" w:type="dxa"/>
          <w:left w:w="0" w:type="dxa"/>
          <w:bottom w:w="15" w:type="dxa"/>
          <w:right w:w="0" w:type="dxa"/>
        </w:tblCellMar>
      </w:tblPr>
      <w:tblGrid>
        <w:gridCol w:w="5155"/>
        <w:gridCol w:w="5155"/>
      </w:tblGrid>
      <w:tr>
        <w:trPr>
          <w:cantSplit/>
        </w:trPr>
        <w:tc>
          <w:tcPr>
            <w:tcW w:type="dxa" w:w="6696"/>
          </w:tcPr>
          <w:p>
            <w:pPr>
              <w:keepNext/>
              <w:spacing w:after="20"/>
            </w:pPr>
            <w:r>
              <w:rPr>
                <w:rFonts w:ascii="Arial" w:hAnsi="Arial" w:eastAsia="MS Gothic"/>
                <w:b/>
                <w:i w:val="0"/>
                <w:color w:val="000000"/>
                <w:sz w:val="20"/>
              </w:rPr>
              <w:t xml:space="preserve">Corporate Trainer — </w:t>
            </w:r>
            <w:r>
              <w:rPr>
                <w:rFonts w:ascii="Arial" w:hAnsi="Arial" w:eastAsia="MS Gothic"/>
                <w:b/>
                <w:i/>
                <w:color w:val="000000"/>
                <w:sz w:val="20"/>
              </w:rPr>
              <w:t>Backend &amp; Localization Onboarding</w:t>
            </w:r>
          </w:p>
        </w:tc>
        <w:tc>
          <w:tcPr>
            <w:tcW w:type="dxa" w:w="3614"/>
          </w:tcPr>
          <w:p>
            <w:pPr>
              <w:keepNext/>
              <w:spacing w:after="20"/>
              <w:jc w:val="right"/>
            </w:pPr>
            <w:r>
              <w:rPr>
                <w:rFonts w:ascii="Arial" w:hAnsi="Arial" w:eastAsia="MS Gothic"/>
                <w:b w:val="0"/>
                <w:i/>
                <w:color w:val="000000"/>
                <w:sz w:val="19"/>
              </w:rPr>
              <w:t>2022 – 2024</w:t>
            </w:r>
          </w:p>
        </w:tc>
      </w:tr>
      <w:tr>
        <w:trPr>
          <w:cantSplit/>
        </w:trPr>
        <w:tc>
          <w:tcPr>
            <w:tcW w:type="dxa" w:w="6696"/>
          </w:tcPr>
          <w:p>
            <w:pPr>
              <w:keepNext/>
              <w:spacing w:after="60"/>
            </w:pPr>
            <w:r>
              <w:rPr>
                <w:rFonts w:ascii="Arial" w:hAnsi="Arial" w:eastAsia="MS Gothic"/>
                <w:b w:val="0"/>
                <w:i w:val="0"/>
                <w:color w:val="000000"/>
                <w:sz w:val="19"/>
              </w:rPr>
              <w:t>Top-Tier Consumer Technology Company, Seattle, WA, USA (OPT)</w:t>
            </w:r>
          </w:p>
        </w:tc>
        <w:tc>
          <w:tcPr>
            <w:tcW w:type="dxa" w:w="3614"/>
          </w:tcPr>
          <w:p>
            <w:pPr>
              <w:keepNext/>
              <w:spacing w:after="60"/>
              <w:jc w:val="right"/>
            </w:pPr>
            <w:r>
              <w:rPr>
                <w:rFonts w:ascii="Arial" w:hAnsi="Arial" w:eastAsia="MS Gothic"/>
                <w:b w:val="0"/>
                <w:i w:val="0"/>
                <w:color w:val="000000"/>
                <w:sz w:val="19"/>
              </w:rPr>
              <w:t>Curriculum &amp; Instruction</w:t>
            </w:r>
          </w:p>
        </w:tc>
      </w:tr>
    </w:tbl>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Co-designed onboarding curriculum covering backend engineering, testing, internationalization (i18n), and secure coding.</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Ran weekly code-review and bilingual documentation workshops across English, Japanese, and Spanish cohorts (20+ engineers per cohort).</w:t>
      </w:r>
    </w:p>
    <w:p>
      <w:pPr>
        <w:keepNext/>
        <w:spacing w:before="170" w:after="90"/>
        <w:pBdr>
          <w:bottom w:val="single" w:sz="6" w:space="2" w:color="000000"/>
        </w:pBdr>
      </w:pPr>
      <w:r>
        <w:rPr>
          <w:rFonts w:ascii="Arial" w:hAnsi="Arial" w:eastAsia="MS Gothic"/>
          <w:b/>
          <w:i w:val="0"/>
          <w:color w:val="1A3A5C"/>
          <w:sz w:val="23"/>
        </w:rPr>
        <w:t>LANGUAGES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English &amp; Swahili</w:t>
      </w:r>
      <w:r>
        <w:rPr>
          <w:rFonts w:ascii="Arial" w:hAnsi="Arial" w:eastAsia="MS Gothic"/>
          <w:b w:val="0"/>
          <w:i w:val="0"/>
          <w:color w:val="000000"/>
          <w:sz w:val="20"/>
        </w:rPr>
        <w:t xml:space="preserve"> — Native proficiency (written &amp; spoken; U.S. university-trained technical &amp; editorial writing)</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Japanese (日本語)</w:t>
      </w:r>
      <w:r>
        <w:rPr>
          <w:rFonts w:ascii="Arial" w:hAnsi="Arial" w:eastAsia="MS Gothic"/>
          <w:b w:val="0"/>
          <w:i w:val="0"/>
          <w:color w:val="000000"/>
          <w:sz w:val="20"/>
        </w:rPr>
        <w:t xml:space="preserve"> — Full professional &amp; business fluency (JLPT N1 Certified | 5 years professional experience in corporate keigo [尊敬語・謙譲語・丁寧語], EN–JA technical translation, software/UI localization QA, CJK tokenization, Tokyo team collaboration, and Japanese AI prompt/response evaluation)</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Spanish (Español)</w:t>
      </w:r>
      <w:r>
        <w:rPr>
          <w:rFonts w:ascii="Arial" w:hAnsi="Arial" w:eastAsia="MS Gothic"/>
          <w:b w:val="0"/>
          <w:i w:val="0"/>
          <w:color w:val="000000"/>
          <w:sz w:val="20"/>
        </w:rPr>
        <w:t xml:space="preserve"> — Full professional fluency (DELE C1 Certified | 5 years professional experience in neutral international, Latin American, and Peninsular Spanish registers, EN–ES technical translation, documentation localization, LATAM/Spain engineering coordination, and Spanish AI quality evaluation)</w:t>
      </w:r>
    </w:p>
    <w:p>
      <w:pPr>
        <w:keepNext/>
        <w:spacing w:before="170" w:after="90"/>
        <w:pBdr>
          <w:bottom w:val="single" w:sz="6" w:space="2" w:color="000000"/>
        </w:pBdr>
      </w:pPr>
      <w:r>
        <w:rPr>
          <w:rFonts w:ascii="Arial" w:hAnsi="Arial" w:eastAsia="MS Gothic"/>
          <w:b/>
          <w:i w:val="0"/>
          <w:color w:val="1A3A5C"/>
          <w:sz w:val="23"/>
        </w:rPr>
        <w:t>AVAILABILITY &amp; ENGAGEMENT</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i w:val="0"/>
          <w:color w:val="000000"/>
          <w:sz w:val="20"/>
        </w:rPr>
        <w:t>Kenyan citizen</w:t>
      </w:r>
      <w:r>
        <w:rPr>
          <w:rFonts w:ascii="Arial" w:hAnsi="Arial" w:eastAsia="MS Gothic"/>
          <w:b w:val="0"/>
          <w:i w:val="0"/>
          <w:color w:val="000000"/>
          <w:sz w:val="20"/>
        </w:rPr>
        <w:t xml:space="preserve"> based in Nairobi, Kenya (EAT / UTC+3) — eligible for immediate global remote engagement with natural overlap across Japan (JST), Europe/Spain, and U.S. hours.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 xml:space="preserve">Available to begin first tasks within </w:t>
      </w:r>
      <w:r>
        <w:rPr>
          <w:rFonts w:ascii="Arial" w:hAnsi="Arial" w:eastAsia="MS Gothic"/>
          <w:b/>
          <w:i w:val="0"/>
          <w:color w:val="000000"/>
          <w:sz w:val="20"/>
        </w:rPr>
        <w:t>24–48 hours</w:t>
      </w:r>
      <w:r>
        <w:rPr>
          <w:rFonts w:ascii="Arial" w:hAnsi="Arial" w:eastAsia="MS Gothic"/>
          <w:b w:val="0"/>
          <w:i w:val="0"/>
          <w:color w:val="000000"/>
          <w:sz w:val="20"/>
        </w:rPr>
        <w:t xml:space="preserve"> of onboarding; open to full-time, contract, output-based, or hourly roles.</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Fully remote-ready with reliable high-speed internet, secure workspace, and independent workflow management.</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Committed to incorporating reviewer feedback, aligning with evolving project guidelines, and upholding engineering and linguistic rigor.</w:t>
      </w:r>
    </w:p>
    <w:p>
      <w:pPr>
        <w:spacing w:before="0" w:after="60" w:line="276" w:lineRule="auto"/>
        <w:ind w:left="274" w:hanging="187"/>
      </w:pPr>
      <w:r>
        <w:rPr>
          <w:rFonts w:ascii="Arial" w:hAnsi="Arial" w:eastAsia="MS Gothic"/>
          <w:b w:val="0"/>
          <w:i w:val="0"/>
          <w:color w:val="000000"/>
          <w:sz w:val="20"/>
        </w:rPr>
        <w:t xml:space="preserve">•  </w:t>
      </w:r>
      <w:r>
        <w:rPr>
          <w:rFonts w:ascii="Arial" w:hAnsi="Arial" w:eastAsia="MS Gothic"/>
          <w:b w:val="0"/>
          <w:i w:val="0"/>
          <w:color w:val="000000"/>
          <w:sz w:val="20"/>
        </w:rPr>
        <w:t xml:space="preserve">Committed to completing all interviews and assessments </w:t>
      </w:r>
      <w:r>
        <w:rPr>
          <w:rFonts w:ascii="Arial" w:hAnsi="Arial" w:eastAsia="MS Gothic"/>
          <w:b/>
          <w:i w:val="0"/>
          <w:color w:val="000000"/>
          <w:sz w:val="20"/>
        </w:rPr>
        <w:t>without outside assistance.</w:t>
      </w:r>
    </w:p>
    <w:p>
      <w:pPr>
        <w:keepNext/>
        <w:spacing w:before="170" w:after="90"/>
        <w:pBdr>
          <w:bottom w:val="single" w:sz="6" w:space="2" w:color="000000"/>
        </w:pBdr>
      </w:pPr>
      <w:r>
        <w:rPr>
          <w:rFonts w:ascii="Arial" w:hAnsi="Arial" w:eastAsia="MS Gothic"/>
          <w:b/>
          <w:i w:val="0"/>
          <w:color w:val="1A3A5C"/>
          <w:sz w:val="23"/>
        </w:rPr>
        <w:t>REFERENCES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15" w:type="dxa"/>
          <w:left w:w="0" w:type="dxa"/>
          <w:bottom w:w="15" w:type="dxa"/>
          <w:right w:w="0" w:type="dxa"/>
        </w:tblCellMar>
      </w:tblPr>
      <w:tblGrid>
        <w:gridCol w:w="5155"/>
        <w:gridCol w:w="5155"/>
      </w:tblGrid>
      <w:tr>
        <w:trPr>
          <w:cantSplit/>
        </w:trPr>
        <w:tc>
          <w:tcPr>
            <w:tcW w:type="dxa" w:w="5544"/>
          </w:tcPr>
          <w:p>
            <w:pPr>
              <w:keepNext/>
              <w:spacing w:after="20"/>
            </w:pPr>
            <w:r>
              <w:rPr>
                <w:rFonts w:ascii="Arial" w:hAnsi="Arial" w:eastAsia="MS Gothic"/>
                <w:b/>
                <w:i w:val="0"/>
                <w:color w:val="000000"/>
                <w:sz w:val="20"/>
              </w:rPr>
              <w:t>Lauren Chen</w:t>
            </w:r>
          </w:p>
        </w:tc>
        <w:tc>
          <w:tcPr>
            <w:tcW w:type="dxa" w:w="4766"/>
          </w:tcPr>
          <w:p>
            <w:pPr>
              <w:keepNext/>
              <w:spacing w:after="20"/>
              <w:jc w:val="right"/>
            </w:pPr>
            <w:r>
              <w:rPr>
                <w:rFonts w:ascii="Arial" w:hAnsi="Arial" w:eastAsia="MS Gothic"/>
                <w:b w:val="0"/>
                <w:i/>
                <w:color w:val="000000"/>
                <w:sz w:val="19"/>
              </w:rPr>
              <w:t>Engineering Director, Cloud Platform</w:t>
            </w:r>
          </w:p>
        </w:tc>
      </w:tr>
      <w:tr>
        <w:trPr>
          <w:cantSplit/>
        </w:trPr>
        <w:tc>
          <w:tcPr>
            <w:tcW w:type="dxa" w:w="5544"/>
          </w:tcPr>
          <w:p>
            <w:pPr>
              <w:keepNext/>
              <w:spacing w:after="60"/>
            </w:pPr>
            <w:r>
              <w:rPr>
                <w:rFonts w:ascii="Arial" w:hAnsi="Arial" w:eastAsia="MS Gothic"/>
                <w:b w:val="0"/>
                <w:i w:val="0"/>
                <w:color w:val="000000"/>
                <w:sz w:val="19"/>
              </w:rPr>
              <w:t>Fortune 100 Technology Company, San Francisco, CA, USA</w:t>
            </w:r>
          </w:p>
        </w:tc>
        <w:tc>
          <w:tcPr>
            <w:tcW w:type="dxa" w:w="4766"/>
          </w:tcPr>
          <w:p>
            <w:pPr>
              <w:keepNext/>
              <w:spacing w:after="60"/>
              <w:jc w:val="right"/>
            </w:pPr>
            <w:r>
              <w:drawing>
                <wp:inline xmlns:a="http://schemas.openxmlformats.org/drawingml/2006/main" xmlns:pic="http://schemas.openxmlformats.org/drawingml/2006/picture">
                  <wp:extent cx="105156" cy="105156"/>
                  <wp:docPr id="6" name="Picture 6"/>
                  <wp:cNvGraphicFramePr>
                    <a:graphicFrameLocks noChangeAspect="1"/>
                  </wp:cNvGraphicFramePr>
                  <a:graphic>
                    <a:graphicData uri="http://schemas.openxmlformats.org/drawingml/2006/picture">
                      <pic:pic>
                        <pic:nvPicPr>
                          <pic:cNvPr id="0" name="mail.png"/>
                          <pic:cNvPicPr/>
                        </pic:nvPicPr>
                        <pic:blipFill>
                          <a:blip r:embed="rId10"/>
                          <a:stretch>
                            <a:fillRect/>
                          </a:stretch>
                        </pic:blipFill>
                        <pic:spPr>
                          <a:xfrm>
                            <a:off x="0" y="0"/>
                            <a:ext cx="105156" cy="105156"/>
                          </a:xfrm>
                          <a:prstGeom prst="rect"/>
                        </pic:spPr>
                      </pic:pic>
                    </a:graphicData>
                  </a:graphic>
                </wp:inline>
              </w:drawing>
            </w:r>
            <w:r>
              <w:rPr>
                <w:rFonts w:ascii="Arial" w:hAnsi="Arial" w:eastAsia="MS Gothic"/>
                <w:b w:val="0"/>
                <w:i w:val="0"/>
                <w:color w:val="000000"/>
                <w:sz w:val="19"/>
              </w:rPr>
              <w:t xml:space="preserve"> lauren.chen@example.com  |  </w:t>
            </w:r>
            <w:r>
              <w:drawing>
                <wp:inline xmlns:a="http://schemas.openxmlformats.org/drawingml/2006/main" xmlns:pic="http://schemas.openxmlformats.org/drawingml/2006/picture">
                  <wp:extent cx="105156" cy="105156"/>
                  <wp:docPr id="7" name="Picture 7"/>
                  <wp:cNvGraphicFramePr>
                    <a:graphicFrameLocks noChangeAspect="1"/>
                  </wp:cNvGraphicFramePr>
                  <a:graphic>
                    <a:graphicData uri="http://schemas.openxmlformats.org/drawingml/2006/picture">
                      <pic:pic>
                        <pic:nvPicPr>
                          <pic:cNvPr id="0" name="phone.png"/>
                          <pic:cNvPicPr/>
                        </pic:nvPicPr>
                        <pic:blipFill>
                          <a:blip r:embed="rId17"/>
                          <a:stretch>
                            <a:fillRect/>
                          </a:stretch>
                        </pic:blipFill>
                        <pic:spPr>
                          <a:xfrm>
                            <a:off x="0" y="0"/>
                            <a:ext cx="105156" cy="105156"/>
                          </a:xfrm>
                          <a:prstGeom prst="rect"/>
                        </pic:spPr>
                      </pic:pic>
                    </a:graphicData>
                  </a:graphic>
                </wp:inline>
              </w:drawing>
            </w:r>
            <w:r>
              <w:rPr>
                <w:rFonts w:ascii="Arial" w:hAnsi="Arial" w:eastAsia="MS Gothic"/>
                <w:b w:val="0"/>
                <w:i w:val="0"/>
                <w:color w:val="000000"/>
                <w:sz w:val="19"/>
              </w:rPr>
              <w:t xml:space="preserve"> +1 (415) 555 0142</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15" w:type="dxa"/>
          <w:left w:w="0" w:type="dxa"/>
          <w:bottom w:w="15" w:type="dxa"/>
          <w:right w:w="0" w:type="dxa"/>
        </w:tblCellMar>
      </w:tblPr>
      <w:tblGrid>
        <w:gridCol w:w="5155"/>
        <w:gridCol w:w="5155"/>
      </w:tblGrid>
      <w:tr>
        <w:trPr>
          <w:cantSplit/>
        </w:trPr>
        <w:tc>
          <w:tcPr>
            <w:tcW w:type="dxa" w:w="5544"/>
          </w:tcPr>
          <w:p>
            <w:pPr>
              <w:keepNext/>
              <w:spacing w:after="20"/>
            </w:pPr>
            <w:r>
              <w:rPr>
                <w:rFonts w:ascii="Arial" w:hAnsi="Arial" w:eastAsia="MS Gothic"/>
                <w:b/>
                <w:i w:val="0"/>
                <w:color w:val="000000"/>
                <w:sz w:val="20"/>
              </w:rPr>
              <w:t>Raj Patel</w:t>
            </w:r>
          </w:p>
        </w:tc>
        <w:tc>
          <w:tcPr>
            <w:tcW w:type="dxa" w:w="4766"/>
          </w:tcPr>
          <w:p>
            <w:pPr>
              <w:keepNext/>
              <w:spacing w:after="20"/>
              <w:jc w:val="right"/>
            </w:pPr>
            <w:r>
              <w:rPr>
                <w:rFonts w:ascii="Arial" w:hAnsi="Arial" w:eastAsia="MS Gothic"/>
                <w:b w:val="0"/>
                <w:i/>
                <w:color w:val="000000"/>
                <w:sz w:val="19"/>
              </w:rPr>
              <w:t>Senior Engineering Manager, Backend Systems</w:t>
            </w:r>
          </w:p>
        </w:tc>
      </w:tr>
      <w:tr>
        <w:trPr>
          <w:cantSplit/>
        </w:trPr>
        <w:tc>
          <w:tcPr>
            <w:tcW w:type="dxa" w:w="5544"/>
          </w:tcPr>
          <w:p>
            <w:pPr>
              <w:keepNext/>
              <w:spacing w:after="60"/>
            </w:pPr>
            <w:r>
              <w:rPr>
                <w:rFonts w:ascii="Arial" w:hAnsi="Arial" w:eastAsia="MS Gothic"/>
                <w:b w:val="0"/>
                <w:i w:val="0"/>
                <w:color w:val="000000"/>
                <w:sz w:val="19"/>
              </w:rPr>
              <w:t>Top-Tier Consumer Technology Company, Seattle, WA, USA</w:t>
            </w:r>
          </w:p>
        </w:tc>
        <w:tc>
          <w:tcPr>
            <w:tcW w:type="dxa" w:w="4766"/>
          </w:tcPr>
          <w:p>
            <w:pPr>
              <w:keepNext/>
              <w:spacing w:after="60"/>
              <w:jc w:val="right"/>
            </w:pPr>
            <w:r>
              <w:drawing>
                <wp:inline xmlns:a="http://schemas.openxmlformats.org/drawingml/2006/main" xmlns:pic="http://schemas.openxmlformats.org/drawingml/2006/picture">
                  <wp:extent cx="105156" cy="105156"/>
                  <wp:docPr id="8" name="Picture 8"/>
                  <wp:cNvGraphicFramePr>
                    <a:graphicFrameLocks noChangeAspect="1"/>
                  </wp:cNvGraphicFramePr>
                  <a:graphic>
                    <a:graphicData uri="http://schemas.openxmlformats.org/drawingml/2006/picture">
                      <pic:pic>
                        <pic:nvPicPr>
                          <pic:cNvPr id="0" name="mail.png"/>
                          <pic:cNvPicPr/>
                        </pic:nvPicPr>
                        <pic:blipFill>
                          <a:blip r:embed="rId10"/>
                          <a:stretch>
                            <a:fillRect/>
                          </a:stretch>
                        </pic:blipFill>
                        <pic:spPr>
                          <a:xfrm>
                            <a:off x="0" y="0"/>
                            <a:ext cx="105156" cy="105156"/>
                          </a:xfrm>
                          <a:prstGeom prst="rect"/>
                        </pic:spPr>
                      </pic:pic>
                    </a:graphicData>
                  </a:graphic>
                </wp:inline>
              </w:drawing>
            </w:r>
            <w:r>
              <w:rPr>
                <w:rFonts w:ascii="Arial" w:hAnsi="Arial" w:eastAsia="MS Gothic"/>
                <w:b w:val="0"/>
                <w:i w:val="0"/>
                <w:color w:val="000000"/>
                <w:sz w:val="19"/>
              </w:rPr>
              <w:t xml:space="preserve"> raj.patel@example.com  |  </w:t>
            </w:r>
            <w:r>
              <w:drawing>
                <wp:inline xmlns:a="http://schemas.openxmlformats.org/drawingml/2006/main" xmlns:pic="http://schemas.openxmlformats.org/drawingml/2006/picture">
                  <wp:extent cx="105156" cy="105156"/>
                  <wp:docPr id="9" name="Picture 9"/>
                  <wp:cNvGraphicFramePr>
                    <a:graphicFrameLocks noChangeAspect="1"/>
                  </wp:cNvGraphicFramePr>
                  <a:graphic>
                    <a:graphicData uri="http://schemas.openxmlformats.org/drawingml/2006/picture">
                      <pic:pic>
                        <pic:nvPicPr>
                          <pic:cNvPr id="0" name="phone.png"/>
                          <pic:cNvPicPr/>
                        </pic:nvPicPr>
                        <pic:blipFill>
                          <a:blip r:embed="rId17"/>
                          <a:stretch>
                            <a:fillRect/>
                          </a:stretch>
                        </pic:blipFill>
                        <pic:spPr>
                          <a:xfrm>
                            <a:off x="0" y="0"/>
                            <a:ext cx="105156" cy="105156"/>
                          </a:xfrm>
                          <a:prstGeom prst="rect"/>
                        </pic:spPr>
                      </pic:pic>
                    </a:graphicData>
                  </a:graphic>
                </wp:inline>
              </w:drawing>
            </w:r>
            <w:r>
              <w:rPr>
                <w:rFonts w:ascii="Arial" w:hAnsi="Arial" w:eastAsia="MS Gothic"/>
                <w:b w:val="0"/>
                <w:i w:val="0"/>
                <w:color w:val="000000"/>
                <w:sz w:val="19"/>
              </w:rPr>
              <w:t xml:space="preserve"> +1 (206) 555 0187</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15" w:type="dxa"/>
          <w:left w:w="0" w:type="dxa"/>
          <w:bottom w:w="15" w:type="dxa"/>
          <w:right w:w="0" w:type="dxa"/>
        </w:tblCellMar>
      </w:tblPr>
      <w:tblGrid>
        <w:gridCol w:w="5155"/>
        <w:gridCol w:w="5155"/>
      </w:tblGrid>
      <w:tr>
        <w:trPr>
          <w:cantSplit/>
        </w:trPr>
        <w:tc>
          <w:tcPr>
            <w:tcW w:type="dxa" w:w="5544"/>
          </w:tcPr>
          <w:p>
            <w:pPr>
              <w:keepNext/>
              <w:spacing w:after="20"/>
            </w:pPr>
            <w:r>
              <w:rPr>
                <w:rFonts w:ascii="Arial" w:hAnsi="Arial" w:eastAsia="MS Gothic"/>
                <w:b/>
                <w:i w:val="0"/>
                <w:color w:val="000000"/>
                <w:sz w:val="20"/>
              </w:rPr>
              <w:t>Prof. Michael Torres</w:t>
            </w:r>
          </w:p>
        </w:tc>
        <w:tc>
          <w:tcPr>
            <w:tcW w:type="dxa" w:w="4766"/>
          </w:tcPr>
          <w:p>
            <w:pPr>
              <w:keepNext/>
              <w:spacing w:after="20"/>
              <w:jc w:val="right"/>
            </w:pPr>
            <w:r>
              <w:rPr>
                <w:rFonts w:ascii="Arial" w:hAnsi="Arial" w:eastAsia="MS Gothic"/>
                <w:b w:val="0"/>
                <w:i/>
                <w:color w:val="000000"/>
                <w:sz w:val="19"/>
              </w:rPr>
              <w:t>Professor of Computer Science &amp; Research Supervisor</w:t>
            </w:r>
          </w:p>
        </w:tc>
      </w:tr>
      <w:tr>
        <w:trPr>
          <w:cantSplit/>
        </w:trPr>
        <w:tc>
          <w:tcPr>
            <w:tcW w:type="dxa" w:w="5544"/>
          </w:tcPr>
          <w:p>
            <w:pPr>
              <w:keepNext/>
              <w:spacing w:after="60"/>
            </w:pPr>
            <w:r>
              <w:rPr>
                <w:rFonts w:ascii="Arial" w:hAnsi="Arial" w:eastAsia="MS Gothic"/>
                <w:b w:val="0"/>
                <w:i w:val="0"/>
                <w:color w:val="000000"/>
                <w:sz w:val="19"/>
              </w:rPr>
              <w:t>Stanford University, Stanford, CA, USA</w:t>
            </w:r>
          </w:p>
        </w:tc>
        <w:tc>
          <w:tcPr>
            <w:tcW w:type="dxa" w:w="4766"/>
          </w:tcPr>
          <w:p>
            <w:pPr>
              <w:keepNext/>
              <w:spacing w:after="60"/>
              <w:jc w:val="right"/>
            </w:pPr>
            <w:r>
              <w:drawing>
                <wp:inline xmlns:a="http://schemas.openxmlformats.org/drawingml/2006/main" xmlns:pic="http://schemas.openxmlformats.org/drawingml/2006/picture">
                  <wp:extent cx="105156" cy="105156"/>
                  <wp:docPr id="10" name="Picture 10"/>
                  <wp:cNvGraphicFramePr>
                    <a:graphicFrameLocks noChangeAspect="1"/>
                  </wp:cNvGraphicFramePr>
                  <a:graphic>
                    <a:graphicData uri="http://schemas.openxmlformats.org/drawingml/2006/picture">
                      <pic:pic>
                        <pic:nvPicPr>
                          <pic:cNvPr id="0" name="mail.png"/>
                          <pic:cNvPicPr/>
                        </pic:nvPicPr>
                        <pic:blipFill>
                          <a:blip r:embed="rId10"/>
                          <a:stretch>
                            <a:fillRect/>
                          </a:stretch>
                        </pic:blipFill>
                        <pic:spPr>
                          <a:xfrm>
                            <a:off x="0" y="0"/>
                            <a:ext cx="105156" cy="105156"/>
                          </a:xfrm>
                          <a:prstGeom prst="rect"/>
                        </pic:spPr>
                      </pic:pic>
                    </a:graphicData>
                  </a:graphic>
                </wp:inline>
              </w:drawing>
            </w:r>
            <w:r>
              <w:rPr>
                <w:rFonts w:ascii="Arial" w:hAnsi="Arial" w:eastAsia="MS Gothic"/>
                <w:b w:val="0"/>
                <w:i w:val="0"/>
                <w:color w:val="000000"/>
                <w:sz w:val="19"/>
              </w:rPr>
              <w:t xml:space="preserve"> mtorres@stanford.edu  |  </w:t>
            </w:r>
            <w:r>
              <w:drawing>
                <wp:inline xmlns:a="http://schemas.openxmlformats.org/drawingml/2006/main" xmlns:pic="http://schemas.openxmlformats.org/drawingml/2006/picture">
                  <wp:extent cx="105156" cy="105156"/>
                  <wp:docPr id="11" name="Picture 11"/>
                  <wp:cNvGraphicFramePr>
                    <a:graphicFrameLocks noChangeAspect="1"/>
                  </wp:cNvGraphicFramePr>
                  <a:graphic>
                    <a:graphicData uri="http://schemas.openxmlformats.org/drawingml/2006/picture">
                      <pic:pic>
                        <pic:nvPicPr>
                          <pic:cNvPr id="0" name="phone.png"/>
                          <pic:cNvPicPr/>
                        </pic:nvPicPr>
                        <pic:blipFill>
                          <a:blip r:embed="rId17"/>
                          <a:stretch>
                            <a:fillRect/>
                          </a:stretch>
                        </pic:blipFill>
                        <pic:spPr>
                          <a:xfrm>
                            <a:off x="0" y="0"/>
                            <a:ext cx="105156" cy="105156"/>
                          </a:xfrm>
                          <a:prstGeom prst="rect"/>
                        </pic:spPr>
                      </pic:pic>
                    </a:graphicData>
                  </a:graphic>
                </wp:inline>
              </w:drawing>
            </w:r>
            <w:r>
              <w:rPr>
                <w:rFonts w:ascii="Arial" w:hAnsi="Arial" w:eastAsia="MS Gothic"/>
                <w:b w:val="0"/>
                <w:i w:val="0"/>
                <w:color w:val="000000"/>
                <w:sz w:val="19"/>
              </w:rPr>
              <w:t xml:space="preserve"> +1 (650) 555 0219</w:t>
            </w:r>
          </w:p>
        </w:tc>
      </w:tr>
    </w:tbl>
    <w:p>
      <w:pPr>
        <w:spacing w:before="80"/>
        <w:jc w:val="center"/>
      </w:pPr>
      <w:r>
        <w:rPr>
          <w:rFonts w:ascii="Arial" w:hAnsi="Arial" w:eastAsia="MS Gothic"/>
          <w:b w:val="0"/>
          <w:i/>
          <w:color w:val="808080"/>
          <w:sz w:val="19"/>
        </w:rPr>
        <w:t>Additional references available upon request.</w:t>
      </w:r>
    </w:p>
    <w:sectPr w:rsidR="00FC693F" w:rsidRPr="0006063C" w:rsidSect="00034616">
      <w:footerReference w:type="default" r:id="rId9"/>
      <w:pgSz w:w="12240" w:h="15840"/>
      <w:pgMar w:top="792" w:right="965" w:bottom="835"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9"/>
      </w:rPr>
      <w:t>Palmer Madison Renae  •  palmermadisonrenae@gmail.com  •  linkedin.com/in/madison-palmer-652b62145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mailto:palmermadisonrenae@gmail.com" TargetMode="External"/><Relationship Id="rId12" Type="http://schemas.openxmlformats.org/officeDocument/2006/relationships/image" Target="media/image2.png"/><Relationship Id="rId13" Type="http://schemas.openxmlformats.org/officeDocument/2006/relationships/hyperlink" Target="https://www.linkedin.com/in/madison-palmer-652b62145/"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Palmer Madison Renae - Senior Software Engineer CV</dc:title>
  <dc:subject>Senior Software Engineer | System Design, AI Evaluation &amp; Multilingual (Japanese JLPT N1 &amp; Spanish DELE C1)</dc:subject>
  <dc:creator>Palmer Madison Renae</dc:creator>
  <cp:keywords/>
  <dc:description>generated by python-docx</dc:description>
  <cp:lastModifiedBy/>
  <cp:revision>1</cp:revision>
  <dcterms:created xsi:type="dcterms:W3CDTF">2013-12-23T23:15:00Z</dcterms:created>
  <dcterms:modified xsi:type="dcterms:W3CDTF">2013-12-23T23:15:00Z</dcterms:modified>
  <cp:category/>
</cp:coreProperties>
</file>