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eastAsia="MS Gothic"/>
          <w:b/>
          <w:i w:val="0"/>
          <w:color w:val="1A3A5C"/>
          <w:sz w:val="41"/>
        </w:rPr>
        <w:t>Palmer Madison Renae</w:t>
      </w:r>
    </w:p>
    <w:p>
      <w:pPr>
        <w:spacing w:after="80"/>
        <w:jc w:val="center"/>
      </w:pPr>
      <w:r>
        <w:rPr>
          <w:rFonts w:ascii="Arial" w:hAnsi="Arial" w:eastAsia="MS Gothic"/>
          <w:b/>
          <w:i w:val="0"/>
          <w:color w:val="2E6DA4"/>
          <w:sz w:val="20"/>
        </w:rPr>
        <w:t>Business &amp; Logistics Data Analyst | SME Accounting AI • Operations • Japanese (日本語) &amp; Spanish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14300" cy="114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</w:t>
      </w:r>
      <w:hyperlink r:id="rId11">
        <w:r>
          <w:rPr>
            <w:rFonts w:ascii="Arial" w:hAnsi="Arial"/>
            <w:color w:val="2E6DA4"/>
            <w:sz w:val="20"/>
          </w:rPr>
          <w:t>palmermadisonrenae@gmail.com</w:t>
        </w:r>
      </w:hyperlink>
      <w:r>
        <w:rPr>
          <w:rFonts w:ascii="Arial" w:hAnsi="Arial" w:eastAsia="MS Gothic"/>
          <w:b w:val="0"/>
          <w:i w:val="0"/>
          <w:color w:val="000000"/>
          <w:sz w:val="20"/>
        </w:rPr>
        <w:t xml:space="preserve">    |    </w:t>
      </w:r>
      <w:r>
        <w:drawing>
          <wp:inline xmlns:a="http://schemas.openxmlformats.org/drawingml/2006/main" xmlns:pic="http://schemas.openxmlformats.org/drawingml/2006/picture">
            <wp:extent cx="118872" cy="11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ed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87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</w:t>
      </w:r>
      <w:hyperlink r:id="rId13">
        <w:r>
          <w:rPr>
            <w:rFonts w:ascii="Arial" w:hAnsi="Arial"/>
            <w:color w:val="2E6DA4"/>
            <w:sz w:val="20"/>
          </w:rPr>
          <w:t>linkedin.com/in/madison-palmer-652b62145</w:t>
        </w:r>
      </w:hyperlink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14300" cy="114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Nairobi, Kenya    |    </w:t>
      </w:r>
      <w:r>
        <w:drawing>
          <wp:inline xmlns:a="http://schemas.openxmlformats.org/drawingml/2006/main" xmlns:pic="http://schemas.openxmlformats.org/drawingml/2006/picture">
            <wp:extent cx="114300" cy="114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Remote / Global (EN • JA • ES)    |    </w:t>
      </w:r>
      <w:r>
        <w:drawing>
          <wp:inline xmlns:a="http://schemas.openxmlformats.org/drawingml/2006/main" xmlns:pic="http://schemas.openxmlformats.org/drawingml/2006/picture">
            <wp:extent cx="114300" cy="114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Kenyan Citizen (U.S.-Educated)</w:t>
      </w:r>
    </w:p>
    <w:p>
      <w:pPr>
        <w:keepNext/>
        <w:spacing w:before="170" w:after="90"/>
        <w:pBdr>
          <w:bottom w:val="single" w:sz="6" w:space="2" w:color="000000"/>
        </w:pBdr>
      </w:pPr>
      <w:r>
        <w:rPr>
          <w:rFonts w:ascii="Arial" w:hAnsi="Arial" w:eastAsia="MS Gothic"/>
          <w:b/>
          <w:i w:val="0"/>
          <w:color w:val="1A3A5C"/>
          <w:sz w:val="23"/>
        </w:rPr>
        <w:t>PROFESSIONAL SUMMARY</w:t>
      </w:r>
    </w:p>
    <w:p>
      <w:pPr>
        <w:spacing w:line="278" w:lineRule="auto" w:after="60"/>
        <w:jc w:val="both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U.S.-educated </w:t>
      </w:r>
      <w:r>
        <w:rPr>
          <w:rFonts w:ascii="Arial" w:hAnsi="Arial" w:eastAsia="MS Gothic"/>
          <w:b/>
          <w:i w:val="0"/>
          <w:color w:val="000000"/>
          <w:sz w:val="20"/>
        </w:rPr>
        <w:t>Business &amp; Logistics Data Analyst and AI Operations Specialist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(</w:t>
      </w:r>
      <w:r>
        <w:rPr>
          <w:rFonts w:ascii="Arial" w:hAnsi="Arial" w:eastAsia="MS Gothic"/>
          <w:b/>
          <w:i w:val="0"/>
          <w:color w:val="000000"/>
          <w:sz w:val="20"/>
        </w:rPr>
        <w:t>Kenyan citizen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based in Nairobi, Kenya) with </w:t>
      </w:r>
      <w:r>
        <w:rPr>
          <w:rFonts w:ascii="Arial" w:hAnsi="Arial" w:eastAsia="MS Gothic"/>
          <w:b/>
          <w:i w:val="0"/>
          <w:color w:val="000000"/>
          <w:sz w:val="20"/>
        </w:rPr>
        <w:t>5 years of experience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driving supply-chain analytics, cross-border commercial operations, and practical </w:t>
      </w:r>
      <w:r>
        <w:rPr>
          <w:rFonts w:ascii="Arial" w:hAnsi="Arial" w:eastAsia="MS Gothic"/>
          <w:b/>
          <w:i w:val="0"/>
          <w:color w:val="000000"/>
          <w:sz w:val="20"/>
        </w:rPr>
        <w:t>AI integration into small business accounting software</w:t>
      </w:r>
      <w:r>
        <w:rPr>
          <w:rFonts w:ascii="Arial" w:hAnsi="Arial" w:eastAsia="MS Gothic"/>
          <w:b w:val="0"/>
          <w:i w:val="0"/>
          <w:color w:val="000000"/>
          <w:sz w:val="20"/>
        </w:rPr>
        <w:t>. Educated in Management Science, Business Analytics, and Languages in the United States (Stanford M.S., UC Berkeley B.S.), combining strong quantitative reporting (</w:t>
      </w:r>
      <w:r>
        <w:rPr>
          <w:rFonts w:ascii="Arial" w:hAnsi="Arial" w:eastAsia="MS Gothic"/>
          <w:b/>
          <w:i w:val="0"/>
          <w:color w:val="000000"/>
          <w:sz w:val="20"/>
        </w:rPr>
        <w:t>Excel, Power BI, Tableau, SQL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) with </w:t>
      </w:r>
      <w:r>
        <w:rPr>
          <w:rFonts w:ascii="Arial" w:hAnsi="Arial" w:eastAsia="MS Gothic"/>
          <w:b/>
          <w:i w:val="0"/>
          <w:color w:val="000000"/>
          <w:sz w:val="20"/>
        </w:rPr>
        <w:t>5 years of professional working fluency in Japanese (日本語, JLPT N1) and Spanish (Español, DELE C1)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alongside native English and Swahili. Proven track record automating invoice OCR, bookkeeping categorization, cash-flow forecasting, and multi-currency reconciliation inside </w:t>
      </w:r>
      <w:r>
        <w:rPr>
          <w:rFonts w:ascii="Arial" w:hAnsi="Arial" w:eastAsia="MS Gothic"/>
          <w:b/>
          <w:i w:val="0"/>
          <w:color w:val="000000"/>
          <w:sz w:val="20"/>
        </w:rPr>
        <w:t>QuickBooks Online, Xero, Zoho Books, and Sage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while optimizing freight and inventory performance across U.S., Japan/APAC, East Africa, and LATAM markets.</w:t>
      </w:r>
    </w:p>
    <w:p>
      <w:pPr>
        <w:keepNext/>
        <w:spacing w:before="170" w:after="90"/>
        <w:pBdr>
          <w:bottom w:val="single" w:sz="6" w:space="2" w:color="000000"/>
        </w:pBdr>
      </w:pPr>
      <w:r>
        <w:rPr>
          <w:rFonts w:ascii="Arial" w:hAnsi="Arial" w:eastAsia="MS Gothic"/>
          <w:b/>
          <w:i w:val="0"/>
          <w:color w:val="1A3A5C"/>
          <w:sz w:val="23"/>
        </w:rPr>
        <w:t>CORE QUALIFICATIONS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Small Business Accounting AI Integration: </w:t>
      </w:r>
      <w:r>
        <w:rPr>
          <w:rFonts w:ascii="Arial" w:hAnsi="Arial" w:eastAsia="MS Gothic"/>
          <w:b w:val="0"/>
          <w:i w:val="0"/>
          <w:color w:val="000000"/>
          <w:sz w:val="20"/>
        </w:rPr>
        <w:t>Implemented and audited AI tools inside QuickBooks Online, Xero, Zoho Books, and Sage — automating receipt/invoice OCR, ledger categorization, bank feeds, VAT/tax prep, and cash-flow forecasting.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Logistics &amp; Supply Chain Analytics: </w:t>
      </w:r>
      <w:r>
        <w:rPr>
          <w:rFonts w:ascii="Arial" w:hAnsi="Arial" w:eastAsia="MS Gothic"/>
          <w:b w:val="0"/>
          <w:i w:val="0"/>
          <w:color w:val="000000"/>
          <w:sz w:val="20"/>
        </w:rPr>
        <w:t>Analyzed freight rates, container transit lead times, warehouse inventory turnover, 3PL SLAs, and landed-cost variances to reduce stockouts and shipping overhead.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Business Data Analysis with AI: </w:t>
      </w:r>
      <w:r>
        <w:rPr>
          <w:rFonts w:ascii="Arial" w:hAnsi="Arial" w:eastAsia="MS Gothic"/>
          <w:b w:val="0"/>
          <w:i w:val="0"/>
          <w:color w:val="000000"/>
          <w:sz w:val="20"/>
        </w:rPr>
        <w:t>Advanced proficiency in Excel (Power Query, PivotTables, XLOOKUP, financial modeling), Power BI, Tableau, SQL reporting, and AI copilot analytics for executive decision-making.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Japanese &amp; Spanish Business Fluency: </w:t>
      </w:r>
      <w:r>
        <w:rPr>
          <w:rFonts w:ascii="Arial" w:hAnsi="Arial" w:eastAsia="MS Gothic"/>
          <w:b w:val="0"/>
          <w:i w:val="0"/>
          <w:color w:val="000000"/>
          <w:sz w:val="20"/>
        </w:rPr>
        <w:t>5 years of full professional fluency in Japanese (日本語 — JLPT N1, corporate keigo, trade &amp; invoice docs) and Spanish (Español — DELE C1, LATAM &amp; Spain commercial operations).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AI Output &amp; Financial Data Evaluation: </w:t>
      </w:r>
      <w:r>
        <w:rPr>
          <w:rFonts w:ascii="Arial" w:hAnsi="Arial" w:eastAsia="MS Gothic"/>
          <w:b w:val="0"/>
          <w:i w:val="0"/>
          <w:color w:val="000000"/>
          <w:sz w:val="20"/>
        </w:rPr>
        <w:t>Skilled at evaluating AI-generated accounting entries, financial summaries, demand forecasts, and English/Japanese/Spanish business prompts for numerical accuracy and compliance.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Cross-Border Trade &amp; Procurement: </w:t>
      </w:r>
      <w:r>
        <w:rPr>
          <w:rFonts w:ascii="Arial" w:hAnsi="Arial" w:eastAsia="MS Gothic"/>
          <w:b w:val="0"/>
          <w:i w:val="0"/>
          <w:color w:val="000000"/>
          <w:sz w:val="20"/>
        </w:rPr>
        <w:t>Managed vendor scorecards, purchase orders, bills of lading, commercial invoices, and multi-currency AP/AR workflows across USD, KES, JPY, and EUR/MXN.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Financial Controls &amp; Reconciliation: </w:t>
      </w:r>
      <w:r>
        <w:rPr>
          <w:rFonts w:ascii="Arial" w:hAnsi="Arial" w:eastAsia="MS Gothic"/>
          <w:b w:val="0"/>
          <w:i w:val="0"/>
          <w:color w:val="000000"/>
          <w:sz w:val="20"/>
        </w:rPr>
        <w:t>Standardized month-end close checklists, duplicate-invoice detection, expense audit trails, and P&amp;L variance reporting for small and mid-sized businesses.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Workflow &amp; SOP Documentation: </w:t>
      </w:r>
      <w:r>
        <w:rPr>
          <w:rFonts w:ascii="Arial" w:hAnsi="Arial" w:eastAsia="MS Gothic"/>
          <w:b w:val="0"/>
          <w:i w:val="0"/>
          <w:color w:val="000000"/>
          <w:sz w:val="20"/>
        </w:rPr>
        <w:t>Translates complex operational, accounting, and logistics processes into clear dashboards, SOP manuals, and training guides for non-technical business owners.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Multilingual Localization QA: </w:t>
      </w:r>
      <w:r>
        <w:rPr>
          <w:rFonts w:ascii="Arial" w:hAnsi="Arial" w:eastAsia="MS Gothic"/>
          <w:b w:val="0"/>
          <w:i w:val="0"/>
          <w:color w:val="000000"/>
          <w:sz w:val="20"/>
        </w:rPr>
        <w:t>Reviews and localizes accounting software workflows, invoice templates, financial glossaries, and AI assistant responses across English, Japanese, and Spanish.</w:t>
      </w:r>
    </w:p>
    <w:p>
      <w:pPr>
        <w:keepNext/>
        <w:spacing w:before="170" w:after="90"/>
        <w:pBdr>
          <w:bottom w:val="single" w:sz="6" w:space="2" w:color="000000"/>
        </w:pBdr>
      </w:pPr>
      <w:r>
        <w:rPr>
          <w:rFonts w:ascii="Arial" w:hAnsi="Arial" w:eastAsia="MS Gothic"/>
          <w:b/>
          <w:i w:val="0"/>
          <w:color w:val="1A3A5C"/>
          <w:sz w:val="23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15" w:type="dxa"/>
          <w:left w:w="0" w:type="dxa"/>
          <w:bottom w:w="15" w:type="dxa"/>
          <w:right w:w="0" w:type="dxa"/>
        </w:tblCellMar>
      </w:tblPr>
      <w:tblGrid>
        <w:gridCol w:w="5155"/>
        <w:gridCol w:w="5155"/>
      </w:tblGrid>
      <w:tr>
        <w:trPr>
          <w:cantSplit/>
        </w:trPr>
        <w:tc>
          <w:tcPr>
            <w:tcW w:type="dxa" w:w="5256"/>
          </w:tcPr>
          <w:p>
            <w:pPr>
              <w:keepNext/>
              <w:spacing w:after="20"/>
            </w:pPr>
            <w:r>
              <w:rPr>
                <w:rFonts w:ascii="Arial" w:hAnsi="Arial" w:eastAsia="MS Gothic"/>
                <w:b/>
                <w:i w:val="0"/>
                <w:color w:val="000000"/>
                <w:sz w:val="20"/>
              </w:rPr>
              <w:t xml:space="preserve">M.S. in Management Science &amp; Analytics — </w:t>
            </w:r>
            <w:r>
              <w:rPr>
                <w:rFonts w:ascii="Arial" w:hAnsi="Arial" w:eastAsia="MS Gothic"/>
                <w:b/>
                <w:i/>
                <w:color w:val="000000"/>
                <w:sz w:val="20"/>
              </w:rPr>
              <w:t>Supply Chain &amp; AI Systems</w:t>
            </w:r>
          </w:p>
        </w:tc>
        <w:tc>
          <w:tcPr>
            <w:tcW w:type="dxa" w:w="5054"/>
          </w:tcPr>
          <w:p>
            <w:pPr>
              <w:keepNext/>
              <w:spacing w:after="20"/>
              <w:jc w:val="right"/>
            </w:pPr>
            <w:r>
              <w:rPr>
                <w:rFonts w:ascii="Arial" w:hAnsi="Arial" w:eastAsia="MS Gothic"/>
                <w:b w:val="0"/>
                <w:i/>
                <w:color w:val="000000"/>
                <w:sz w:val="19"/>
              </w:rPr>
              <w:t>2019 – 2021</w:t>
            </w:r>
          </w:p>
        </w:tc>
      </w:tr>
      <w:tr>
        <w:trPr>
          <w:cantSplit/>
        </w:trPr>
        <w:tc>
          <w:tcPr>
            <w:tcW w:type="dxa" w:w="5256"/>
          </w:tcPr>
          <w:p>
            <w:pPr>
              <w:keepNext/>
              <w:spacing w:after="60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Stanford University, Stanford, CA, USA</w:t>
            </w:r>
          </w:p>
        </w:tc>
        <w:tc>
          <w:tcPr>
            <w:tcW w:type="dxa" w:w="5054"/>
          </w:tcPr>
          <w:p>
            <w:pPr>
              <w:keepNext/>
              <w:spacing w:after="60"/>
              <w:jc w:val="right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GPA: 3.9/4.0  |  Capstone: AI Forecasting for Global SMEs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15" w:type="dxa"/>
          <w:left w:w="0" w:type="dxa"/>
          <w:bottom w:w="15" w:type="dxa"/>
          <w:right w:w="0" w:type="dxa"/>
        </w:tblCellMar>
      </w:tblPr>
      <w:tblGrid>
        <w:gridCol w:w="5155"/>
        <w:gridCol w:w="5155"/>
      </w:tblGrid>
      <w:tr>
        <w:trPr>
          <w:cantSplit/>
        </w:trPr>
        <w:tc>
          <w:tcPr>
            <w:tcW w:type="dxa" w:w="5256"/>
          </w:tcPr>
          <w:p>
            <w:pPr>
              <w:keepNext/>
              <w:spacing w:after="20"/>
            </w:pPr>
            <w:r>
              <w:rPr>
                <w:rFonts w:ascii="Arial" w:hAnsi="Arial" w:eastAsia="MS Gothic"/>
                <w:b/>
                <w:i w:val="0"/>
                <w:color w:val="000000"/>
                <w:sz w:val="20"/>
              </w:rPr>
              <w:t xml:space="preserve">B.S. in Business Data Analytics — </w:t>
            </w:r>
            <w:r>
              <w:rPr>
                <w:rFonts w:ascii="Arial" w:hAnsi="Arial" w:eastAsia="MS Gothic"/>
                <w:b/>
                <w:i/>
                <w:color w:val="000000"/>
                <w:sz w:val="20"/>
              </w:rPr>
              <w:t>Minor in Japanese &amp; Hispanic Studies</w:t>
            </w:r>
          </w:p>
        </w:tc>
        <w:tc>
          <w:tcPr>
            <w:tcW w:type="dxa" w:w="5054"/>
          </w:tcPr>
          <w:p>
            <w:pPr>
              <w:keepNext/>
              <w:spacing w:after="20"/>
              <w:jc w:val="right"/>
            </w:pPr>
            <w:r>
              <w:rPr>
                <w:rFonts w:ascii="Arial" w:hAnsi="Arial" w:eastAsia="MS Gothic"/>
                <w:b w:val="0"/>
                <w:i/>
                <w:color w:val="000000"/>
                <w:sz w:val="19"/>
              </w:rPr>
              <w:t>2015 – 2019</w:t>
            </w:r>
          </w:p>
        </w:tc>
      </w:tr>
      <w:tr>
        <w:trPr>
          <w:cantSplit/>
        </w:trPr>
        <w:tc>
          <w:tcPr>
            <w:tcW w:type="dxa" w:w="5256"/>
          </w:tcPr>
          <w:p>
            <w:pPr>
              <w:keepNext/>
              <w:spacing w:after="60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University of California, Berkeley, CA, USA</w:t>
            </w:r>
          </w:p>
        </w:tc>
        <w:tc>
          <w:tcPr>
            <w:tcW w:type="dxa" w:w="5054"/>
          </w:tcPr>
          <w:p>
            <w:pPr>
              <w:keepNext/>
              <w:spacing w:after="60"/>
              <w:jc w:val="right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GPA: 3.8/4.0  |  Honors  |  Dean’s List  |  Tokyo Exchange</w:t>
            </w:r>
          </w:p>
        </w:tc>
      </w:tr>
    </w:tbl>
    <w:p>
      <w:pPr>
        <w:keepNext/>
        <w:spacing w:before="170" w:after="90"/>
        <w:pBdr>
          <w:bottom w:val="single" w:sz="6" w:space="2" w:color="000000"/>
        </w:pBdr>
      </w:pPr>
      <w:r>
        <w:rPr>
          <w:rFonts w:ascii="Arial" w:hAnsi="Arial" w:eastAsia="MS Gothic"/>
          <w:b/>
          <w:i w:val="0"/>
          <w:color w:val="1A3A5C"/>
          <w:sz w:val="23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15" w:type="dxa"/>
          <w:left w:w="0" w:type="dxa"/>
          <w:bottom w:w="15" w:type="dxa"/>
          <w:right w:w="0" w:type="dxa"/>
        </w:tblCellMar>
      </w:tblPr>
      <w:tblGrid>
        <w:gridCol w:w="5155"/>
        <w:gridCol w:w="5155"/>
      </w:tblGrid>
      <w:tr>
        <w:trPr>
          <w:cantSplit/>
        </w:trPr>
        <w:tc>
          <w:tcPr>
            <w:tcW w:type="dxa" w:w="5256"/>
          </w:tcPr>
          <w:p>
            <w:pPr>
              <w:keepNext/>
              <w:spacing w:after="20"/>
            </w:pPr>
            <w:r>
              <w:rPr>
                <w:rFonts w:ascii="Arial" w:hAnsi="Arial" w:eastAsia="MS Gothic"/>
                <w:b/>
                <w:i w:val="0"/>
                <w:color w:val="000000"/>
                <w:sz w:val="20"/>
              </w:rPr>
              <w:t xml:space="preserve">Senior Business &amp; Logistics Data Analyst — </w:t>
            </w:r>
            <w:r>
              <w:rPr>
                <w:rFonts w:ascii="Arial" w:hAnsi="Arial" w:eastAsia="MS Gothic"/>
                <w:b/>
                <w:i/>
                <w:color w:val="000000"/>
                <w:sz w:val="20"/>
              </w:rPr>
              <w:t>AI Operations &amp; SME Accounting</w:t>
            </w:r>
          </w:p>
        </w:tc>
        <w:tc>
          <w:tcPr>
            <w:tcW w:type="dxa" w:w="5054"/>
          </w:tcPr>
          <w:p>
            <w:pPr>
              <w:keepNext/>
              <w:spacing w:after="20"/>
              <w:jc w:val="right"/>
            </w:pPr>
            <w:r>
              <w:rPr>
                <w:rFonts w:ascii="Arial" w:hAnsi="Arial" w:eastAsia="MS Gothic"/>
                <w:b w:val="0"/>
                <w:i/>
                <w:color w:val="000000"/>
                <w:sz w:val="19"/>
              </w:rPr>
              <w:t>Feb 2024 – Present</w:t>
            </w:r>
          </w:p>
        </w:tc>
      </w:tr>
      <w:tr>
        <w:trPr>
          <w:cantSplit/>
        </w:trPr>
        <w:tc>
          <w:tcPr>
            <w:tcW w:type="dxa" w:w="5256"/>
          </w:tcPr>
          <w:p>
            <w:pPr>
              <w:keepNext/>
              <w:spacing w:after="60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Global Trade &amp; SMB Advisory Group — Remote, Kenya</w:t>
            </w:r>
          </w:p>
        </w:tc>
        <w:tc>
          <w:tcPr>
            <w:tcW w:type="dxa" w:w="5054"/>
          </w:tcPr>
          <w:p>
            <w:pPr>
              <w:keepNext/>
              <w:spacing w:after="60"/>
              <w:jc w:val="right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QuickBooks AI • Xero • Zoho Books • Power BI • Excel</w:t>
            </w:r>
          </w:p>
        </w:tc>
      </w:tr>
    </w:tbl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Led AI integration across QuickBooks Online, Xero, and Zoho Books for 120+ small businesses, automating invoice/receipt OCR, smart expense categorization, and bank reconciliation — cutting manual bookkeeping time by 42%.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Built interactive Power BI and Excel supply-chain dashboards combining AI demand forecasting with freight rates, inventory turnover, and supplier lead times across East Africa, Japan/APAC, and LATAM corridors.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Shortened monthly accounting close cycles from 11 days to 4 days by deploying AI anomaly checks for duplicate vendor bills, tax/VAT discrepancies, and multi-currency entries (USD, KES, JPY, EUR).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Coordinated directly in Japanese (日本語) with Japanese export suppliers and in Spanish (Español) with LATAM logistics partners to reconcile commercial invoices, packing lists, and delivery schedules.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Evaluated and refined 250+ AI accounting, financial analysis, and logistics prompts across English, Japanese, and Spanish, raising automated classification accuracy by 31%.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Trained 15+ small-business bookkeepers and operations staff on AI accounting workflows, financial controls, and KPI reporting.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15" w:type="dxa"/>
          <w:left w:w="0" w:type="dxa"/>
          <w:bottom w:w="15" w:type="dxa"/>
          <w:right w:w="0" w:type="dxa"/>
        </w:tblCellMar>
      </w:tblPr>
      <w:tblGrid>
        <w:gridCol w:w="5155"/>
        <w:gridCol w:w="5155"/>
      </w:tblGrid>
      <w:tr>
        <w:trPr>
          <w:cantSplit/>
        </w:trPr>
        <w:tc>
          <w:tcPr>
            <w:tcW w:type="dxa" w:w="5688"/>
          </w:tcPr>
          <w:p>
            <w:pPr>
              <w:keepNext/>
              <w:spacing w:after="20"/>
            </w:pPr>
            <w:r>
              <w:rPr>
                <w:rFonts w:ascii="Arial" w:hAnsi="Arial" w:eastAsia="MS Gothic"/>
                <w:b/>
                <w:i w:val="0"/>
                <w:color w:val="000000"/>
                <w:sz w:val="20"/>
              </w:rPr>
              <w:t xml:space="preserve">Logistics &amp; Financial Data Analyst — </w:t>
            </w:r>
            <w:r>
              <w:rPr>
                <w:rFonts w:ascii="Arial" w:hAnsi="Arial" w:eastAsia="MS Gothic"/>
                <w:b/>
                <w:i/>
                <w:color w:val="000000"/>
                <w:sz w:val="20"/>
              </w:rPr>
              <w:t>Supply Chain &amp; Business Intelligence</w:t>
            </w:r>
          </w:p>
        </w:tc>
        <w:tc>
          <w:tcPr>
            <w:tcW w:type="dxa" w:w="4622"/>
          </w:tcPr>
          <w:p>
            <w:pPr>
              <w:keepNext/>
              <w:spacing w:after="20"/>
              <w:jc w:val="right"/>
            </w:pPr>
            <w:r>
              <w:rPr>
                <w:rFonts w:ascii="Arial" w:hAnsi="Arial" w:eastAsia="MS Gothic"/>
                <w:b w:val="0"/>
                <w:i/>
                <w:color w:val="000000"/>
                <w:sz w:val="19"/>
              </w:rPr>
              <w:t>Aug 2022 – Jan 2024</w:t>
            </w:r>
          </w:p>
        </w:tc>
      </w:tr>
      <w:tr>
        <w:trPr>
          <w:cantSplit/>
        </w:trPr>
        <w:tc>
          <w:tcPr>
            <w:tcW w:type="dxa" w:w="5688"/>
          </w:tcPr>
          <w:p>
            <w:pPr>
              <w:keepNext/>
              <w:spacing w:after="60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Pacific Cross-Border Commerce Corp., Seattle, WA (OPT)</w:t>
            </w:r>
          </w:p>
        </w:tc>
        <w:tc>
          <w:tcPr>
            <w:tcW w:type="dxa" w:w="4622"/>
          </w:tcPr>
          <w:p>
            <w:pPr>
              <w:keepNext/>
              <w:spacing w:after="60"/>
              <w:jc w:val="right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Tableau • Excel Power Query • SQL • QuickBooks</w:t>
            </w:r>
          </w:p>
        </w:tc>
      </w:tr>
    </w:tbl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Analyzed 500K+ shipment, warehouse inventory, and carrier billing records using Excel Power Query, SQL, and AI forecasting models, reducing freight spend by 18% and stockout rates by 24%.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Configured automated landed-cost allocation and accounts-payable matching workflows connecting freight invoices directly into QuickBooks Online and Xero.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Translated and localized vendor onboarding manuals, commercial invoice templates, and operational KPI reports across Japanese, Spanish, and English.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Produced weekly executive scorecards tracking SKU profitability, on-time delivery performance, and working-capital cash flow.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Built standardized bilingual vendor discrepancy workflows that recovered $140K+ in freight and billing overcharges.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15" w:type="dxa"/>
          <w:left w:w="0" w:type="dxa"/>
          <w:bottom w:w="15" w:type="dxa"/>
          <w:right w:w="0" w:type="dxa"/>
        </w:tblCellMar>
      </w:tblPr>
      <w:tblGrid>
        <w:gridCol w:w="5155"/>
        <w:gridCol w:w="5155"/>
      </w:tblGrid>
      <w:tr>
        <w:trPr>
          <w:cantSplit/>
        </w:trPr>
        <w:tc>
          <w:tcPr>
            <w:tcW w:type="dxa" w:w="5472"/>
          </w:tcPr>
          <w:p>
            <w:pPr>
              <w:keepNext/>
              <w:spacing w:after="20"/>
            </w:pPr>
            <w:r>
              <w:rPr>
                <w:rFonts w:ascii="Arial" w:hAnsi="Arial" w:eastAsia="MS Gothic"/>
                <w:b/>
                <w:i w:val="0"/>
                <w:color w:val="000000"/>
                <w:sz w:val="20"/>
              </w:rPr>
              <w:t xml:space="preserve">Business &amp; Accounting Operations Analyst — </w:t>
            </w:r>
            <w:r>
              <w:rPr>
                <w:rFonts w:ascii="Arial" w:hAnsi="Arial" w:eastAsia="MS Gothic"/>
                <w:b/>
                <w:i/>
                <w:color w:val="000000"/>
                <w:sz w:val="20"/>
              </w:rPr>
              <w:t>SME Financial Workflows</w:t>
            </w:r>
          </w:p>
        </w:tc>
        <w:tc>
          <w:tcPr>
            <w:tcW w:type="dxa" w:w="4838"/>
          </w:tcPr>
          <w:p>
            <w:pPr>
              <w:keepNext/>
              <w:spacing w:after="20"/>
              <w:jc w:val="right"/>
            </w:pPr>
            <w:r>
              <w:rPr>
                <w:rFonts w:ascii="Arial" w:hAnsi="Arial" w:eastAsia="MS Gothic"/>
                <w:b w:val="0"/>
                <w:i/>
                <w:color w:val="000000"/>
                <w:sz w:val="19"/>
              </w:rPr>
              <w:t>Oct 2021 – Jul 2022</w:t>
            </w:r>
          </w:p>
        </w:tc>
      </w:tr>
      <w:tr>
        <w:trPr>
          <w:cantSplit/>
        </w:trPr>
        <w:tc>
          <w:tcPr>
            <w:tcW w:type="dxa" w:w="5472"/>
          </w:tcPr>
          <w:p>
            <w:pPr>
              <w:keepNext/>
              <w:spacing w:after="60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Lone Star SMB Advisory Services, Austin, TX (OPT)</w:t>
            </w:r>
          </w:p>
        </w:tc>
        <w:tc>
          <w:tcPr>
            <w:tcW w:type="dxa" w:w="4838"/>
          </w:tcPr>
          <w:p>
            <w:pPr>
              <w:keepNext/>
              <w:spacing w:after="60"/>
              <w:jc w:val="right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QuickBooks Online • Wave • Zoho Books • Excel</w:t>
            </w:r>
          </w:p>
        </w:tc>
      </w:tr>
    </w:tbl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Onboarded 60+ small businesses from manual spreadsheets onto QuickBooks Online, Wave, and Zoho Books with automated bank feeds and AI receipt capture.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Cleaned and reconciled 100K+ historical ledger, inventory, and vendor payment records to prepare accurate P&amp;L, balance sheet, and cash-flow statements.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Supported Japanese- and Spanish-speaking small business owners with bilingual bookkeeping setup, invoice localization, and expense tracking.</w:t>
      </w:r>
    </w:p>
    <w:p>
      <w:pPr>
        <w:keepNext/>
        <w:spacing w:before="170" w:after="90"/>
        <w:pBdr>
          <w:bottom w:val="single" w:sz="6" w:space="2" w:color="000000"/>
        </w:pBdr>
      </w:pPr>
      <w:r>
        <w:rPr>
          <w:rFonts w:ascii="Arial" w:hAnsi="Arial" w:eastAsia="MS Gothic"/>
          <w:b/>
          <w:i w:val="0"/>
          <w:color w:val="1A3A5C"/>
          <w:sz w:val="23"/>
        </w:rPr>
        <w:t>SELECTED PROJECTS &amp; BUSINESS CONTRIBUTIONS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SME Accounting AI Rollout: </w:t>
      </w:r>
      <w:r>
        <w:rPr>
          <w:rFonts w:ascii="Arial" w:hAnsi="Arial" w:eastAsia="MS Gothic"/>
          <w:b w:val="0"/>
          <w:i w:val="0"/>
          <w:color w:val="000000"/>
          <w:sz w:val="20"/>
        </w:rPr>
        <w:t>Deployed and audited AI receipt OCR, auto-categorization rules, and cash-flow alerts across QuickBooks Online, Xero, and Zoho Books for 120+ retail, wholesale, and service SMEs.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Cross-Border Landed-Cost &amp; Freight Model: </w:t>
      </w:r>
      <w:r>
        <w:rPr>
          <w:rFonts w:ascii="Arial" w:hAnsi="Arial" w:eastAsia="MS Gothic"/>
          <w:b w:val="0"/>
          <w:i w:val="0"/>
          <w:color w:val="000000"/>
          <w:sz w:val="20"/>
        </w:rPr>
        <w:t>Built an AI-assisted Excel &amp; Power BI model forecasting container transit times, customs duties, and SKU margin impact across Japan, U.S., LATAM, and East Africa trade lanes.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Multilingual Accounting &amp; Logistics AI Benchmark: </w:t>
      </w:r>
      <w:r>
        <w:rPr>
          <w:rFonts w:ascii="Arial" w:hAnsi="Arial" w:eastAsia="MS Gothic"/>
          <w:b w:val="0"/>
          <w:i w:val="0"/>
          <w:color w:val="000000"/>
          <w:sz w:val="20"/>
        </w:rPr>
        <w:t>Created a 250-scenario evaluation suite testing AI accuracy on bookkeeping rules, financial analysis, Japanese business keigo, and Spanish trade terminology.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Working-Capital &amp; Inventory Exception Tracker: </w:t>
      </w:r>
      <w:r>
        <w:rPr>
          <w:rFonts w:ascii="Arial" w:hAnsi="Arial" w:eastAsia="MS Gothic"/>
          <w:b w:val="0"/>
          <w:i w:val="0"/>
          <w:color w:val="000000"/>
          <w:sz w:val="20"/>
        </w:rPr>
        <w:t>Designed automated BI alerts flagging slow-moving inventory, overdue receivables, and duplicate supplier billings prior to month-end close.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Trilingual SME Bookkeeping SOP Kit: </w:t>
      </w:r>
      <w:r>
        <w:rPr>
          <w:rFonts w:ascii="Arial" w:hAnsi="Arial" w:eastAsia="MS Gothic"/>
          <w:b w:val="0"/>
          <w:i w:val="0"/>
          <w:color w:val="000000"/>
          <w:sz w:val="20"/>
        </w:rPr>
        <w:t>Authored standardized chart-of-accounts templates and onboarding guides in English, Japanese, and Spanish for cross-border small businesses.</w:t>
      </w:r>
    </w:p>
    <w:p>
      <w:pPr>
        <w:keepNext/>
        <w:spacing w:before="170" w:after="90"/>
        <w:pBdr>
          <w:bottom w:val="single" w:sz="6" w:space="2" w:color="000000"/>
        </w:pBdr>
      </w:pPr>
      <w:r>
        <w:rPr>
          <w:rFonts w:ascii="Arial" w:hAnsi="Arial" w:eastAsia="MS Gothic"/>
          <w:b/>
          <w:i w:val="0"/>
          <w:color w:val="1A3A5C"/>
          <w:sz w:val="23"/>
        </w:rPr>
        <w:t>BUSINESS, ANALYTICS &amp; ACCOUNTING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15" w:type="dxa"/>
          <w:left w:w="0" w:type="dxa"/>
          <w:bottom w:w="15" w:type="dxa"/>
          <w:right w:w="0" w:type="dxa"/>
        </w:tblCellMar>
      </w:tblPr>
      <w:tblGrid>
        <w:gridCol w:w="5155"/>
        <w:gridCol w:w="5155"/>
      </w:tblGrid>
      <w:tr>
        <w:tc>
          <w:tcPr>
            <w:tcW w:type="dxa" w:w="5155"/>
          </w:tcPr>
          <w:p>
            <w:pPr>
              <w:spacing w:after="50"/>
            </w:pPr>
            <w:r>
              <w:rPr>
                <w:rFonts w:ascii="Arial" w:hAnsi="Arial" w:eastAsia="MS Gothic"/>
                <w:b/>
                <w:i w:val="0"/>
                <w:color w:val="000000"/>
                <w:sz w:val="19"/>
              </w:rPr>
              <w:t xml:space="preserve">• SME Accounting Software: </w:t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QuickBooks Online, Xero, Zoho Books, Sage Business Cloud, Wave, FreshBooks</w:t>
            </w:r>
          </w:p>
        </w:tc>
        <w:tc>
          <w:tcPr>
            <w:tcW w:type="dxa" w:w="5155"/>
          </w:tcPr>
          <w:p>
            <w:pPr>
              <w:spacing w:after="50"/>
            </w:pPr>
            <w:r>
              <w:rPr>
                <w:rFonts w:ascii="Arial" w:hAnsi="Arial" w:eastAsia="MS Gothic"/>
                <w:b/>
                <w:i w:val="0"/>
                <w:color w:val="000000"/>
                <w:sz w:val="19"/>
              </w:rPr>
              <w:t xml:space="preserve">• Logistics &amp; Supply Chain: </w:t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Freight &amp; landed-cost analysis, inventory planning, 3PL SLAs, demand forecasting</w:t>
            </w:r>
          </w:p>
        </w:tc>
      </w:tr>
      <w:tr>
        <w:tc>
          <w:tcPr>
            <w:tcW w:type="dxa" w:w="5155"/>
          </w:tcPr>
          <w:p>
            <w:pPr>
              <w:spacing w:after="50"/>
            </w:pPr>
            <w:r>
              <w:rPr>
                <w:rFonts w:ascii="Arial" w:hAnsi="Arial" w:eastAsia="MS Gothic"/>
                <w:b/>
                <w:i w:val="0"/>
                <w:color w:val="000000"/>
                <w:sz w:val="19"/>
              </w:rPr>
              <w:t xml:space="preserve">• AI Accounting Workflows: </w:t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Invoice/receipt OCR, smart ledger categorization, bank rules, AI cash-flow forecasting</w:t>
            </w:r>
          </w:p>
        </w:tc>
        <w:tc>
          <w:tcPr>
            <w:tcW w:type="dxa" w:w="5155"/>
          </w:tcPr>
          <w:p>
            <w:pPr>
              <w:spacing w:after="50"/>
            </w:pPr>
            <w:r>
              <w:rPr>
                <w:rFonts w:ascii="Arial" w:hAnsi="Arial" w:eastAsia="MS Gothic"/>
                <w:b/>
                <w:i w:val="0"/>
                <w:color w:val="000000"/>
                <w:sz w:val="19"/>
              </w:rPr>
              <w:t xml:space="preserve">• Financial Operations: </w:t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AP/AR automation, multi-currency reconciliation (USD, KES, JPY, EUR), VAT/tax prep, P&amp;L</w:t>
            </w:r>
          </w:p>
        </w:tc>
      </w:tr>
      <w:tr>
        <w:tc>
          <w:tcPr>
            <w:tcW w:type="dxa" w:w="5155"/>
          </w:tcPr>
          <w:p>
            <w:pPr>
              <w:spacing w:after="50"/>
            </w:pPr>
            <w:r>
              <w:rPr>
                <w:rFonts w:ascii="Arial" w:hAnsi="Arial" w:eastAsia="MS Gothic"/>
                <w:b/>
                <w:i w:val="0"/>
                <w:color w:val="000000"/>
                <w:sz w:val="19"/>
              </w:rPr>
              <w:t xml:space="preserve">• Data Analysis &amp; BI: </w:t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Excel (Power Query, PivotTables, XLOOKUP), Power BI, Tableau, Looker Studio, SQL reporting</w:t>
            </w:r>
          </w:p>
        </w:tc>
        <w:tc>
          <w:tcPr>
            <w:tcW w:type="dxa" w:w="5155"/>
          </w:tcPr>
          <w:p>
            <w:pPr>
              <w:spacing w:after="50"/>
            </w:pPr>
            <w:r>
              <w:rPr>
                <w:rFonts w:ascii="Arial" w:hAnsi="Arial" w:eastAsia="MS Gothic"/>
                <w:b/>
                <w:i w:val="0"/>
                <w:color w:val="000000"/>
                <w:sz w:val="19"/>
              </w:rPr>
              <w:t xml:space="preserve">• AI &amp; Productivity Tools: </w:t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ChatGPT / Claude / Copilot business workflows, prompt evaluation, AI data QA</w:t>
            </w:r>
          </w:p>
        </w:tc>
      </w:tr>
      <w:tr>
        <w:tc>
          <w:tcPr>
            <w:tcW w:type="dxa" w:w="5155"/>
          </w:tcPr>
          <w:p>
            <w:pPr>
              <w:spacing w:after="50"/>
            </w:pPr>
            <w:r>
              <w:rPr>
                <w:rFonts w:ascii="Arial" w:hAnsi="Arial" w:eastAsia="MS Gothic"/>
                <w:b/>
                <w:i w:val="0"/>
                <w:color w:val="000000"/>
                <w:sz w:val="19"/>
              </w:rPr>
              <w:t xml:space="preserve">• Spoken Languages: </w:t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English &amp; Swahili (Native), Japanese / 日本語 (JLPT N1), Spanish / Español (DELE C1)</w:t>
            </w:r>
          </w:p>
        </w:tc>
        <w:tc>
          <w:tcPr>
            <w:tcW w:type="dxa" w:w="5155"/>
          </w:tcPr>
          <w:p>
            <w:pPr>
              <w:spacing w:after="50"/>
            </w:pPr>
            <w:r>
              <w:rPr>
                <w:rFonts w:ascii="Arial" w:hAnsi="Arial" w:eastAsia="MS Gothic"/>
                <w:b/>
                <w:i w:val="0"/>
                <w:color w:val="000000"/>
                <w:sz w:val="19"/>
              </w:rPr>
              <w:t xml:space="preserve">• Trade &amp; Localization: </w:t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Commercial invoices, POs, customs packs, EN–JA &amp; EN–ES business translation</w:t>
            </w:r>
          </w:p>
        </w:tc>
      </w:tr>
    </w:tbl>
    <w:p>
      <w:pPr>
        <w:keepNext/>
        <w:spacing w:before="170" w:after="90"/>
        <w:pBdr>
          <w:bottom w:val="single" w:sz="6" w:space="2" w:color="000000"/>
        </w:pBdr>
      </w:pPr>
      <w:r>
        <w:rPr>
          <w:rFonts w:ascii="Arial" w:hAnsi="Arial" w:eastAsia="MS Gothic"/>
          <w:b/>
          <w:i w:val="0"/>
          <w:color w:val="1A3A5C"/>
          <w:sz w:val="23"/>
        </w:rPr>
        <w:t>CERTIFICATIONS &amp; TRAINING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>QuickBooks Online Certified ProAdvisor (Advanced &amp; AI Workflows)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— Intuit Academy, 2024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>Xero Advisor &amp; Cloud Accounting Certification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— Xero Central, 2023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>Japanese-Language Proficiency Test — JLPT N1 (Highest Level)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— Japan Foundation / JEES, 2022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>DELE C1 — Diploma de Español como Lengua Extranjera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— Instituto Cervantes, 2021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>Microsoft Power BI Data Analyst Associate (PL-300)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— Microsoft, 2023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>AI for Business, Finance &amp; Operations Specialization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— Wharton / Coursera, 2024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>Supply Chain Analytics &amp; Logistics Certificate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— MITx MicroMasters Module, 2022</w:t>
      </w:r>
    </w:p>
    <w:p>
      <w:pPr>
        <w:keepNext/>
        <w:spacing w:before="170" w:after="90"/>
        <w:pBdr>
          <w:bottom w:val="single" w:sz="6" w:space="2" w:color="000000"/>
        </w:pBdr>
      </w:pPr>
      <w:r>
        <w:rPr>
          <w:rFonts w:ascii="Arial" w:hAnsi="Arial" w:eastAsia="MS Gothic"/>
          <w:b/>
          <w:i w:val="0"/>
          <w:color w:val="1A3A5C"/>
          <w:sz w:val="23"/>
        </w:rPr>
        <w:t>INDUSTRY PUBLICATIONS &amp; TALKS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Renae, P. M. “Practical AI Automation in Small Business Bookkeeping: Reducing Close Time Without Losing Audit Control.” Presented at </w:t>
      </w:r>
      <w:r>
        <w:rPr>
          <w:rFonts w:ascii="Arial" w:hAnsi="Arial" w:eastAsia="MS Gothic"/>
          <w:b w:val="0"/>
          <w:i/>
          <w:color w:val="000000"/>
          <w:sz w:val="20"/>
        </w:rPr>
        <w:t>SMB Finance &amp; Operations Forum</w:t>
      </w:r>
      <w:r>
        <w:rPr>
          <w:rFonts w:ascii="Arial" w:hAnsi="Arial" w:eastAsia="MS Gothic"/>
          <w:b w:val="0"/>
          <w:i w:val="0"/>
          <w:color w:val="000000"/>
          <w:sz w:val="20"/>
        </w:rPr>
        <w:t>, 2025.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Renae, P. M., &amp; Chen, L. “AI-Assisted Demand and Landed-Cost Forecasting for Cross-Border Small Businesses.” </w:t>
      </w:r>
      <w:r>
        <w:rPr>
          <w:rFonts w:ascii="Arial" w:hAnsi="Arial" w:eastAsia="MS Gothic"/>
          <w:b w:val="0"/>
          <w:i/>
          <w:color w:val="000000"/>
          <w:sz w:val="20"/>
        </w:rPr>
        <w:t>Supply Chain Analytics Symposium</w:t>
      </w:r>
      <w:r>
        <w:rPr>
          <w:rFonts w:ascii="Arial" w:hAnsi="Arial" w:eastAsia="MS Gothic"/>
          <w:b w:val="0"/>
          <w:i w:val="0"/>
          <w:color w:val="000000"/>
          <w:sz w:val="20"/>
        </w:rPr>
        <w:t>, 2024.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Renae, P. M. “Bridging English, Japanese, and Spanish Procurement Operations with Multilingual AI Workflows.” </w:t>
      </w:r>
      <w:r>
        <w:rPr>
          <w:rFonts w:ascii="Arial" w:hAnsi="Arial" w:eastAsia="MS Gothic"/>
          <w:b w:val="0"/>
          <w:i/>
          <w:color w:val="000000"/>
          <w:sz w:val="20"/>
        </w:rPr>
        <w:t>Global Trade &amp; Localization Workshop</w:t>
      </w:r>
      <w:r>
        <w:rPr>
          <w:rFonts w:ascii="Arial" w:hAnsi="Arial" w:eastAsia="MS Gothic"/>
          <w:b w:val="0"/>
          <w:i w:val="0"/>
          <w:color w:val="000000"/>
          <w:sz w:val="20"/>
        </w:rPr>
        <w:t>, 2023.</w:t>
      </w:r>
    </w:p>
    <w:p>
      <w:pPr>
        <w:keepNext/>
        <w:spacing w:before="170" w:after="90"/>
        <w:pBdr>
          <w:bottom w:val="single" w:sz="6" w:space="2" w:color="000000"/>
        </w:pBdr>
      </w:pPr>
      <w:r>
        <w:rPr>
          <w:rFonts w:ascii="Arial" w:hAnsi="Arial" w:eastAsia="MS Gothic"/>
          <w:b/>
          <w:i w:val="0"/>
          <w:color w:val="1A3A5C"/>
          <w:sz w:val="23"/>
        </w:rPr>
        <w:t>TRAINING &amp; CLIENT ENABLEMENT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15" w:type="dxa"/>
          <w:left w:w="0" w:type="dxa"/>
          <w:bottom w:w="15" w:type="dxa"/>
          <w:right w:w="0" w:type="dxa"/>
        </w:tblCellMar>
      </w:tblPr>
      <w:tblGrid>
        <w:gridCol w:w="5155"/>
        <w:gridCol w:w="5155"/>
      </w:tblGrid>
      <w:tr>
        <w:trPr>
          <w:cantSplit/>
        </w:trPr>
        <w:tc>
          <w:tcPr>
            <w:tcW w:type="dxa" w:w="6480"/>
          </w:tcPr>
          <w:p>
            <w:pPr>
              <w:keepNext/>
              <w:spacing w:after="20"/>
            </w:pPr>
            <w:r>
              <w:rPr>
                <w:rFonts w:ascii="Arial" w:hAnsi="Arial" w:eastAsia="MS Gothic"/>
                <w:b/>
                <w:i w:val="0"/>
                <w:color w:val="000000"/>
                <w:sz w:val="20"/>
              </w:rPr>
              <w:t>SME Accounting AI &amp; Operations Trainer</w:t>
            </w:r>
          </w:p>
        </w:tc>
        <w:tc>
          <w:tcPr>
            <w:tcW w:type="dxa" w:w="3830"/>
          </w:tcPr>
          <w:p>
            <w:pPr>
              <w:keepNext/>
              <w:spacing w:after="20"/>
              <w:jc w:val="right"/>
            </w:pPr>
            <w:r>
              <w:rPr>
                <w:rFonts w:ascii="Arial" w:hAnsi="Arial" w:eastAsia="MS Gothic"/>
                <w:b w:val="0"/>
                <w:i/>
                <w:color w:val="000000"/>
                <w:sz w:val="19"/>
              </w:rPr>
              <w:t>2024 – Present</w:t>
            </w:r>
          </w:p>
        </w:tc>
      </w:tr>
      <w:tr>
        <w:trPr>
          <w:cantSplit/>
        </w:trPr>
        <w:tc>
          <w:tcPr>
            <w:tcW w:type="dxa" w:w="6480"/>
          </w:tcPr>
          <w:p>
            <w:pPr>
              <w:keepNext/>
              <w:spacing w:after="60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Global Trade &amp; SMB Advisory Group — Remote (Nairobi, Kenya)</w:t>
            </w:r>
          </w:p>
        </w:tc>
        <w:tc>
          <w:tcPr>
            <w:tcW w:type="dxa" w:w="3830"/>
          </w:tcPr>
          <w:p>
            <w:pPr>
              <w:keepNext/>
              <w:spacing w:after="60"/>
              <w:jc w:val="right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Client Enablement &amp; Training</w:t>
            </w:r>
          </w:p>
        </w:tc>
      </w:tr>
    </w:tbl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Trained 15+ bookkeepers, inventory planners, and small-business owners on QuickBooks Online, Xero, Zoho Books AI tools, and Power BI dashboards.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Authored step-by-step SOPs and quality review checklists for AI-generated bookkeeping entries and logistics reports across English, Japanese, and Spanish teams.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15" w:type="dxa"/>
          <w:left w:w="0" w:type="dxa"/>
          <w:bottom w:w="15" w:type="dxa"/>
          <w:right w:w="0" w:type="dxa"/>
        </w:tblCellMar>
      </w:tblPr>
      <w:tblGrid>
        <w:gridCol w:w="5155"/>
        <w:gridCol w:w="5155"/>
      </w:tblGrid>
      <w:tr>
        <w:trPr>
          <w:cantSplit/>
        </w:trPr>
        <w:tc>
          <w:tcPr>
            <w:tcW w:type="dxa" w:w="6480"/>
          </w:tcPr>
          <w:p>
            <w:pPr>
              <w:keepNext/>
              <w:spacing w:after="20"/>
            </w:pPr>
            <w:r>
              <w:rPr>
                <w:rFonts w:ascii="Arial" w:hAnsi="Arial" w:eastAsia="MS Gothic"/>
                <w:b/>
                <w:i w:val="0"/>
                <w:color w:val="000000"/>
                <w:sz w:val="20"/>
              </w:rPr>
              <w:t>Business Analytics &amp; Cross-Border Operations Coordinator</w:t>
            </w:r>
          </w:p>
        </w:tc>
        <w:tc>
          <w:tcPr>
            <w:tcW w:type="dxa" w:w="3830"/>
          </w:tcPr>
          <w:p>
            <w:pPr>
              <w:keepNext/>
              <w:spacing w:after="20"/>
              <w:jc w:val="right"/>
            </w:pPr>
            <w:r>
              <w:rPr>
                <w:rFonts w:ascii="Arial" w:hAnsi="Arial" w:eastAsia="MS Gothic"/>
                <w:b w:val="0"/>
                <w:i/>
                <w:color w:val="000000"/>
                <w:sz w:val="19"/>
              </w:rPr>
              <w:t>2022 – 2024</w:t>
            </w:r>
          </w:p>
        </w:tc>
      </w:tr>
      <w:tr>
        <w:trPr>
          <w:cantSplit/>
        </w:trPr>
        <w:tc>
          <w:tcPr>
            <w:tcW w:type="dxa" w:w="6480"/>
          </w:tcPr>
          <w:p>
            <w:pPr>
              <w:keepNext/>
              <w:spacing w:after="60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Pacific Cross-Border Commerce Corp., Seattle, WA, USA (OPT)</w:t>
            </w:r>
          </w:p>
        </w:tc>
        <w:tc>
          <w:tcPr>
            <w:tcW w:type="dxa" w:w="3830"/>
          </w:tcPr>
          <w:p>
            <w:pPr>
              <w:keepNext/>
              <w:spacing w:after="60"/>
              <w:jc w:val="right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Workshops &amp; SOPs</w:t>
            </w:r>
          </w:p>
        </w:tc>
      </w:tr>
    </w:tbl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Facilitated onboarding workshops on Excel Power Query modeling, carrier SLA tracking, and bilingual supplier documentation standards.</w:t>
      </w:r>
    </w:p>
    <w:p>
      <w:pPr>
        <w:keepNext/>
        <w:spacing w:before="170" w:after="90"/>
        <w:pBdr>
          <w:bottom w:val="single" w:sz="6" w:space="2" w:color="000000"/>
        </w:pBdr>
      </w:pPr>
      <w:r>
        <w:rPr>
          <w:rFonts w:ascii="Arial" w:hAnsi="Arial" w:eastAsia="MS Gothic"/>
          <w:b/>
          <w:i w:val="0"/>
          <w:color w:val="1A3A5C"/>
          <w:sz w:val="23"/>
        </w:rPr>
        <w:t>LANGUAGES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English &amp; Swahili — </w:t>
      </w:r>
      <w:r>
        <w:rPr>
          <w:rFonts w:ascii="Arial" w:hAnsi="Arial" w:eastAsia="MS Gothic"/>
          <w:b w:val="0"/>
          <w:i w:val="0"/>
          <w:color w:val="000000"/>
          <w:sz w:val="20"/>
        </w:rPr>
        <w:t>Native proficiency (written &amp; spoken; executive business reporting, financial documentation &amp; stakeholder briefings)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Japanese (日本語) — </w:t>
      </w:r>
      <w:r>
        <w:rPr>
          <w:rFonts w:ascii="Arial" w:hAnsi="Arial" w:eastAsia="MS Gothic"/>
          <w:b w:val="0"/>
          <w:i w:val="0"/>
          <w:color w:val="000000"/>
          <w:sz w:val="20"/>
        </w:rPr>
        <w:t>Full professional &amp; business fluency (JLPT N1 Certified | 5 years professional experience in corporate keigo [尊敬語・謙譲語・丁寧語], Japanese supplier/logistics coordination, invoice &amp; trade translation, and Japanese AI business prompt evaluation)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 xml:space="preserve">Spanish (Español) — </w:t>
      </w:r>
      <w:r>
        <w:rPr>
          <w:rFonts w:ascii="Arial" w:hAnsi="Arial" w:eastAsia="MS Gothic"/>
          <w:b w:val="0"/>
          <w:i w:val="0"/>
          <w:color w:val="000000"/>
          <w:sz w:val="20"/>
        </w:rPr>
        <w:t>Full professional fluency (DELE C1 Certified | 5 years professional experience across neutral international, Latin American, and Peninsular Spanish business/accounting registers, vendor coordination, and Spanish AI quality evaluation)</w:t>
      </w:r>
    </w:p>
    <w:p>
      <w:pPr>
        <w:keepNext/>
        <w:spacing w:before="170" w:after="90"/>
        <w:pBdr>
          <w:bottom w:val="single" w:sz="6" w:space="2" w:color="000000"/>
        </w:pBdr>
      </w:pPr>
      <w:r>
        <w:rPr>
          <w:rFonts w:ascii="Arial" w:hAnsi="Arial" w:eastAsia="MS Gothic"/>
          <w:b/>
          <w:i w:val="0"/>
          <w:color w:val="1A3A5C"/>
          <w:sz w:val="23"/>
        </w:rPr>
        <w:t>AVAILABILITY &amp; ENGAGEMENT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/>
          <w:i w:val="0"/>
          <w:color w:val="000000"/>
          <w:sz w:val="20"/>
        </w:rPr>
        <w:t>Kenyan citizen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based in Nairobi, Kenya (EAT / UTC+3) — eligible for immediate global remote engagement with natural overlap across Japan (JST), Europe/Spain, and U.S. business hours.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Available to begin first tasks within </w:t>
      </w:r>
      <w:r>
        <w:rPr>
          <w:rFonts w:ascii="Arial" w:hAnsi="Arial" w:eastAsia="MS Gothic"/>
          <w:b/>
          <w:i w:val="0"/>
          <w:color w:val="000000"/>
          <w:sz w:val="20"/>
        </w:rPr>
        <w:t>24–48 hours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 of onboarding; open to full-time, contract, output-based, or hourly roles.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>Fully remote-ready with reliable high-speed internet, secure workspace, and independent workflow management.</w:t>
      </w:r>
    </w:p>
    <w:p>
      <w:pPr>
        <w:spacing w:after="60" w:line="276" w:lineRule="auto"/>
        <w:ind w:left="274" w:hanging="187"/>
      </w:pPr>
      <w:r>
        <w:rPr>
          <w:rFonts w:ascii="Arial" w:hAnsi="Arial" w:eastAsia="MS Gothic"/>
          <w:b w:val="0"/>
          <w:i w:val="0"/>
          <w:color w:val="000000"/>
          <w:sz w:val="20"/>
        </w:rPr>
        <w:t xml:space="preserve">•  </w:t>
      </w:r>
      <w:r>
        <w:rPr>
          <w:rFonts w:ascii="Arial" w:hAnsi="Arial" w:eastAsia="MS Gothic"/>
          <w:b w:val="0"/>
          <w:i w:val="0"/>
          <w:color w:val="000000"/>
          <w:sz w:val="20"/>
        </w:rPr>
        <w:t xml:space="preserve">Committed to incorporating reviewer feedback, aligning with evolving project guidelines, and completing all assessments </w:t>
      </w:r>
      <w:r>
        <w:rPr>
          <w:rFonts w:ascii="Arial" w:hAnsi="Arial" w:eastAsia="MS Gothic"/>
          <w:b/>
          <w:i w:val="0"/>
          <w:color w:val="000000"/>
          <w:sz w:val="20"/>
        </w:rPr>
        <w:t>without outside assistance.</w:t>
      </w:r>
    </w:p>
    <w:p>
      <w:pPr>
        <w:keepNext/>
        <w:spacing w:before="170" w:after="90"/>
        <w:pBdr>
          <w:bottom w:val="single" w:sz="6" w:space="2" w:color="000000"/>
        </w:pBdr>
      </w:pPr>
      <w:r>
        <w:rPr>
          <w:rFonts w:ascii="Arial" w:hAnsi="Arial" w:eastAsia="MS Gothic"/>
          <w:b/>
          <w:i w:val="0"/>
          <w:color w:val="1A3A5C"/>
          <w:sz w:val="23"/>
        </w:rPr>
        <w:t>REFERENCES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15" w:type="dxa"/>
          <w:left w:w="0" w:type="dxa"/>
          <w:bottom w:w="15" w:type="dxa"/>
          <w:right w:w="0" w:type="dxa"/>
        </w:tblCellMar>
      </w:tblPr>
      <w:tblGrid>
        <w:gridCol w:w="5155"/>
        <w:gridCol w:w="5155"/>
      </w:tblGrid>
      <w:tr>
        <w:trPr>
          <w:cantSplit/>
        </w:trPr>
        <w:tc>
          <w:tcPr>
            <w:tcW w:type="dxa" w:w="3528"/>
          </w:tcPr>
          <w:p>
            <w:pPr>
              <w:keepNext/>
              <w:spacing w:after="20"/>
            </w:pPr>
            <w:r>
              <w:rPr>
                <w:rFonts w:ascii="Arial" w:hAnsi="Arial" w:eastAsia="MS Gothic"/>
                <w:b/>
                <w:i w:val="0"/>
                <w:color w:val="000000"/>
                <w:sz w:val="20"/>
              </w:rPr>
              <w:t>Alex Morgan</w:t>
            </w:r>
            <w:r>
              <w:rPr>
                <w:rFonts w:ascii="Arial" w:hAnsi="Arial" w:eastAsia="MS Gothic"/>
                <w:b w:val="0"/>
                <w:i w:val="0"/>
                <w:color w:val="808080"/>
                <w:sz w:val="17"/>
              </w:rPr>
              <w:t xml:space="preserve"> (Sample Preview)</w:t>
            </w:r>
          </w:p>
        </w:tc>
        <w:tc>
          <w:tcPr>
            <w:tcW w:type="dxa" w:w="6782"/>
          </w:tcPr>
          <w:p>
            <w:pPr>
              <w:keepNext/>
              <w:spacing w:after="20"/>
              <w:jc w:val="right"/>
            </w:pPr>
            <w:r>
              <w:rPr>
                <w:rFonts w:ascii="Arial" w:hAnsi="Arial" w:eastAsia="MS Gothic"/>
                <w:b w:val="0"/>
                <w:i/>
                <w:color w:val="000000"/>
                <w:sz w:val="19"/>
              </w:rPr>
              <w:t>Chief Business Development &amp; Operations Officer</w:t>
            </w:r>
          </w:p>
        </w:tc>
      </w:tr>
      <w:tr>
        <w:trPr>
          <w:cantSplit/>
        </w:trPr>
        <w:tc>
          <w:tcPr>
            <w:tcW w:type="dxa" w:w="3528"/>
          </w:tcPr>
          <w:p>
            <w:pPr>
              <w:keepNext/>
              <w:spacing w:after="60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Northstar SMB Cloud (Sample)</w:t>
            </w:r>
          </w:p>
        </w:tc>
        <w:tc>
          <w:tcPr>
            <w:tcW w:type="dxa" w:w="6782"/>
          </w:tcPr>
          <w:p>
            <w:pPr>
              <w:keepNext/>
              <w:spacing w:after="6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0584" cy="1005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i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05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8"/>
              </w:rPr>
              <w:t xml:space="preserve"> a.morgan@example.com  |  </w:t>
            </w:r>
            <w:r>
              <w:drawing>
                <wp:inline xmlns:a="http://schemas.openxmlformats.org/drawingml/2006/main" xmlns:pic="http://schemas.openxmlformats.org/drawingml/2006/picture">
                  <wp:extent cx="100584" cy="1005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nkedi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05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8"/>
              </w:rPr>
              <w:t xml:space="preserve"> </w:t>
            </w:r>
            <w:hyperlink r:id="rId17">
              <w:r>
                <w:rPr>
                  <w:rFonts w:ascii="Arial" w:hAnsi="Arial"/>
                  <w:color w:val="2E6DA4"/>
                  <w:sz w:val="18"/>
                </w:rPr>
                <w:t>linkedin.com/in/referee-1</w:t>
              </w:r>
            </w:hyperlink>
            <w:r>
              <w:rPr>
                <w:rFonts w:ascii="Arial" w:hAnsi="Arial" w:eastAsia="MS Gothic"/>
                <w:b w:val="0"/>
                <w:i w:val="0"/>
                <w:color w:val="000000"/>
                <w:sz w:val="18"/>
              </w:rPr>
              <w:t xml:space="preserve">  |  </w:t>
            </w:r>
            <w:r>
              <w:drawing>
                <wp:inline xmlns:a="http://schemas.openxmlformats.org/drawingml/2006/main" xmlns:pic="http://schemas.openxmlformats.org/drawingml/2006/picture">
                  <wp:extent cx="100584" cy="1005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05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8"/>
              </w:rPr>
              <w:t xml:space="preserve"> +1 (415) 555-0142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15" w:type="dxa"/>
          <w:left w:w="0" w:type="dxa"/>
          <w:bottom w:w="15" w:type="dxa"/>
          <w:right w:w="0" w:type="dxa"/>
        </w:tblCellMar>
      </w:tblPr>
      <w:tblGrid>
        <w:gridCol w:w="5155"/>
        <w:gridCol w:w="5155"/>
      </w:tblGrid>
      <w:tr>
        <w:trPr>
          <w:cantSplit/>
        </w:trPr>
        <w:tc>
          <w:tcPr>
            <w:tcW w:type="dxa" w:w="3528"/>
          </w:tcPr>
          <w:p>
            <w:pPr>
              <w:keepNext/>
              <w:spacing w:after="20"/>
            </w:pPr>
            <w:r>
              <w:rPr>
                <w:rFonts w:ascii="Arial" w:hAnsi="Arial" w:eastAsia="MS Gothic"/>
                <w:b/>
                <w:i w:val="0"/>
                <w:color w:val="000000"/>
                <w:sz w:val="20"/>
              </w:rPr>
              <w:t>Taylor Brooks</w:t>
            </w:r>
            <w:r>
              <w:rPr>
                <w:rFonts w:ascii="Arial" w:hAnsi="Arial" w:eastAsia="MS Gothic"/>
                <w:b w:val="0"/>
                <w:i w:val="0"/>
                <w:color w:val="808080"/>
                <w:sz w:val="17"/>
              </w:rPr>
              <w:t xml:space="preserve"> (Sample Preview)</w:t>
            </w:r>
          </w:p>
        </w:tc>
        <w:tc>
          <w:tcPr>
            <w:tcW w:type="dxa" w:w="6782"/>
          </w:tcPr>
          <w:p>
            <w:pPr>
              <w:keepNext/>
              <w:spacing w:after="20"/>
              <w:jc w:val="right"/>
            </w:pPr>
            <w:r>
              <w:rPr>
                <w:rFonts w:ascii="Arial" w:hAnsi="Arial" w:eastAsia="MS Gothic"/>
                <w:b w:val="0"/>
                <w:i/>
                <w:color w:val="000000"/>
                <w:sz w:val="19"/>
              </w:rPr>
              <w:t>Co-Founder &amp; Former Chief Product Officer</w:t>
            </w:r>
          </w:p>
        </w:tc>
      </w:tr>
      <w:tr>
        <w:trPr>
          <w:cantSplit/>
        </w:trPr>
        <w:tc>
          <w:tcPr>
            <w:tcW w:type="dxa" w:w="3528"/>
          </w:tcPr>
          <w:p>
            <w:pPr>
              <w:keepNext/>
              <w:spacing w:after="60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Harborline Commerce (Sample)</w:t>
            </w:r>
          </w:p>
        </w:tc>
        <w:tc>
          <w:tcPr>
            <w:tcW w:type="dxa" w:w="6782"/>
          </w:tcPr>
          <w:p>
            <w:pPr>
              <w:keepNext/>
              <w:spacing w:after="6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0584" cy="10058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i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05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8"/>
              </w:rPr>
              <w:t xml:space="preserve"> t.brooks@example.com  |  </w:t>
            </w:r>
            <w:r>
              <w:drawing>
                <wp:inline xmlns:a="http://schemas.openxmlformats.org/drawingml/2006/main" xmlns:pic="http://schemas.openxmlformats.org/drawingml/2006/picture">
                  <wp:extent cx="100584" cy="1005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nkedi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05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8"/>
              </w:rPr>
              <w:t xml:space="preserve"> </w:t>
            </w:r>
            <w:hyperlink r:id="rId17">
              <w:r>
                <w:rPr>
                  <w:rFonts w:ascii="Arial" w:hAnsi="Arial"/>
                  <w:color w:val="2E6DA4"/>
                  <w:sz w:val="18"/>
                </w:rPr>
                <w:t>linkedin.com/in/referee-2</w:t>
              </w:r>
            </w:hyperlink>
            <w:r>
              <w:rPr>
                <w:rFonts w:ascii="Arial" w:hAnsi="Arial" w:eastAsia="MS Gothic"/>
                <w:b w:val="0"/>
                <w:i w:val="0"/>
                <w:color w:val="000000"/>
                <w:sz w:val="18"/>
              </w:rPr>
              <w:t xml:space="preserve">  |  </w:t>
            </w:r>
            <w:r>
              <w:drawing>
                <wp:inline xmlns:a="http://schemas.openxmlformats.org/drawingml/2006/main" xmlns:pic="http://schemas.openxmlformats.org/drawingml/2006/picture">
                  <wp:extent cx="100584" cy="1005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05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8"/>
              </w:rPr>
              <w:t xml:space="preserve"> +1 (206) 555-0187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15" w:type="dxa"/>
          <w:left w:w="0" w:type="dxa"/>
          <w:bottom w:w="15" w:type="dxa"/>
          <w:right w:w="0" w:type="dxa"/>
        </w:tblCellMar>
      </w:tblPr>
      <w:tblGrid>
        <w:gridCol w:w="5155"/>
        <w:gridCol w:w="5155"/>
      </w:tblGrid>
      <w:tr>
        <w:trPr>
          <w:cantSplit/>
        </w:trPr>
        <w:tc>
          <w:tcPr>
            <w:tcW w:type="dxa" w:w="3528"/>
          </w:tcPr>
          <w:p>
            <w:pPr>
              <w:keepNext/>
              <w:spacing w:after="20"/>
            </w:pPr>
            <w:r>
              <w:rPr>
                <w:rFonts w:ascii="Arial" w:hAnsi="Arial" w:eastAsia="MS Gothic"/>
                <w:b/>
                <w:i w:val="0"/>
                <w:color w:val="000000"/>
                <w:sz w:val="20"/>
              </w:rPr>
              <w:t>Jordan Ellis</w:t>
            </w:r>
            <w:r>
              <w:rPr>
                <w:rFonts w:ascii="Arial" w:hAnsi="Arial" w:eastAsia="MS Gothic"/>
                <w:b w:val="0"/>
                <w:i w:val="0"/>
                <w:color w:val="808080"/>
                <w:sz w:val="17"/>
              </w:rPr>
              <w:t xml:space="preserve"> (Sample Preview)</w:t>
            </w:r>
          </w:p>
        </w:tc>
        <w:tc>
          <w:tcPr>
            <w:tcW w:type="dxa" w:w="6782"/>
          </w:tcPr>
          <w:p>
            <w:pPr>
              <w:keepNext/>
              <w:spacing w:after="20"/>
              <w:jc w:val="right"/>
            </w:pPr>
            <w:r>
              <w:rPr>
                <w:rFonts w:ascii="Arial" w:hAnsi="Arial" w:eastAsia="MS Gothic"/>
                <w:b w:val="0"/>
                <w:i/>
                <w:color w:val="000000"/>
                <w:sz w:val="19"/>
              </w:rPr>
              <w:t>Co-Founder &amp; Former Chief Technology Officer</w:t>
            </w:r>
          </w:p>
        </w:tc>
      </w:tr>
      <w:tr>
        <w:trPr>
          <w:cantSplit/>
        </w:trPr>
        <w:tc>
          <w:tcPr>
            <w:tcW w:type="dxa" w:w="3528"/>
          </w:tcPr>
          <w:p>
            <w:pPr>
              <w:keepNext/>
              <w:spacing w:after="60"/>
            </w:pPr>
            <w:r>
              <w:rPr>
                <w:rFonts w:ascii="Arial" w:hAnsi="Arial" w:eastAsia="MS Gothic"/>
                <w:b w:val="0"/>
                <w:i w:val="0"/>
                <w:color w:val="000000"/>
                <w:sz w:val="19"/>
              </w:rPr>
              <w:t>Meridian Operations (Sample)</w:t>
            </w:r>
          </w:p>
        </w:tc>
        <w:tc>
          <w:tcPr>
            <w:tcW w:type="dxa" w:w="6782"/>
          </w:tcPr>
          <w:p>
            <w:pPr>
              <w:keepNext/>
              <w:spacing w:after="6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0584" cy="10058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i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05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8"/>
              </w:rPr>
              <w:t xml:space="preserve"> j.ellis@example.com  |  </w:t>
            </w:r>
            <w:r>
              <w:drawing>
                <wp:inline xmlns:a="http://schemas.openxmlformats.org/drawingml/2006/main" xmlns:pic="http://schemas.openxmlformats.org/drawingml/2006/picture">
                  <wp:extent cx="100584" cy="10058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nkedi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05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8"/>
              </w:rPr>
              <w:t xml:space="preserve"> </w:t>
            </w:r>
            <w:hyperlink r:id="rId17">
              <w:r>
                <w:rPr>
                  <w:rFonts w:ascii="Arial" w:hAnsi="Arial"/>
                  <w:color w:val="2E6DA4"/>
                  <w:sz w:val="18"/>
                </w:rPr>
                <w:t>linkedin.com/in/referee-3</w:t>
              </w:r>
            </w:hyperlink>
            <w:r>
              <w:rPr>
                <w:rFonts w:ascii="Arial" w:hAnsi="Arial" w:eastAsia="MS Gothic"/>
                <w:b w:val="0"/>
                <w:i w:val="0"/>
                <w:color w:val="000000"/>
                <w:sz w:val="18"/>
              </w:rPr>
              <w:t xml:space="preserve">  |  </w:t>
            </w:r>
            <w:r>
              <w:drawing>
                <wp:inline xmlns:a="http://schemas.openxmlformats.org/drawingml/2006/main" xmlns:pic="http://schemas.openxmlformats.org/drawingml/2006/picture">
                  <wp:extent cx="100584" cy="10058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05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MS Gothic"/>
                <w:b w:val="0"/>
                <w:i w:val="0"/>
                <w:color w:val="000000"/>
                <w:sz w:val="18"/>
              </w:rPr>
              <w:t xml:space="preserve"> +1 (650) 555-0219</w:t>
            </w:r>
          </w:p>
        </w:tc>
      </w:tr>
    </w:tbl>
    <w:p>
      <w:pPr>
        <w:spacing w:before="80"/>
        <w:jc w:val="center"/>
      </w:pPr>
      <w:r>
        <w:rPr>
          <w:rFonts w:ascii="Arial" w:hAnsi="Arial" w:eastAsia="MS Gothic"/>
          <w:b w:val="0"/>
          <w:i/>
          <w:color w:val="808080"/>
          <w:sz w:val="18"/>
        </w:rPr>
        <w:t>Fictional sample executive entries shown for layout preview — replace with consenting referees before submission.</w:t>
      </w:r>
    </w:p>
    <w:sectPr w:rsidR="00FC693F" w:rsidRPr="0006063C" w:rsidSect="00034616">
      <w:footerReference w:type="default" r:id="rId9"/>
      <w:pgSz w:w="12240" w:h="15840"/>
      <w:pgMar w:top="792" w:right="965" w:bottom="835" w:left="9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08080"/>
        <w:sz w:val="19"/>
      </w:rPr>
      <w:t>Palmer Madison Renae  •  palmermadisonrenae@gmail.com  •  linkedin.com/in/madison-palmer-652b62145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mailto:palmermadisonrenae@gmail.com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www.linkedin.com/in/madison-palmer-652b62145/" TargetMode="External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hyperlink" Target="https://www.linkedin.com/" TargetMode="External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Palmer Madison Renae - Business, Logistics Data Analysis &amp; SME Accounting AI CV</dc:title>
  <dc:subject>Business Operations, Supply Chain &amp; Logistics Analytics, AI Integration for Small Business Accounting Software</dc:subject>
  <dc:creator>Palmer Madison Renae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