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935" w:rsidRDefault="002B4ABB" w:rsidP="002B4ABB">
      <w:pPr>
        <w:bidi w:val="0"/>
      </w:pPr>
      <w:r>
        <w:t xml:space="preserve">Click chemistry: </w:t>
      </w:r>
    </w:p>
    <w:p w:rsidR="002B4ABB" w:rsidRPr="002B4ABB" w:rsidRDefault="002B4ABB" w:rsidP="002B4ABB">
      <w:pPr>
        <w:bidi w:val="0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B4AB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Mechanism of the Copper-Catalyzed </w:t>
      </w:r>
      <w:proofErr w:type="spellStart"/>
      <w:r w:rsidRPr="002B4ABB">
        <w:rPr>
          <w:rFonts w:ascii="Arial" w:eastAsia="Times New Roman" w:hAnsi="Arial" w:cs="Arial"/>
          <w:b/>
          <w:bCs/>
          <w:color w:val="000000"/>
          <w:sz w:val="20"/>
          <w:szCs w:val="20"/>
        </w:rPr>
        <w:t>Azide</w:t>
      </w:r>
      <w:proofErr w:type="spellEnd"/>
      <w:r w:rsidRPr="002B4ABB">
        <w:rPr>
          <w:rFonts w:ascii="Arial" w:eastAsia="Times New Roman" w:hAnsi="Arial" w:cs="Arial"/>
          <w:b/>
          <w:bCs/>
          <w:color w:val="000000"/>
          <w:sz w:val="20"/>
          <w:szCs w:val="20"/>
        </w:rPr>
        <w:t>-Alkyne Cycloaddition (</w:t>
      </w:r>
      <w:proofErr w:type="spellStart"/>
      <w:r w:rsidRPr="002B4ABB">
        <w:rPr>
          <w:rFonts w:ascii="Arial" w:eastAsia="Times New Roman" w:hAnsi="Arial" w:cs="Arial"/>
          <w:b/>
          <w:bCs/>
          <w:color w:val="000000"/>
          <w:sz w:val="20"/>
          <w:szCs w:val="20"/>
        </w:rPr>
        <w:t>CuAAC</w:t>
      </w:r>
      <w:proofErr w:type="spellEnd"/>
      <w:r w:rsidRPr="002B4ABB">
        <w:rPr>
          <w:rFonts w:ascii="Arial" w:eastAsia="Times New Roman" w:hAnsi="Arial" w:cs="Arial"/>
          <w:b/>
          <w:bCs/>
          <w:color w:val="000000"/>
          <w:sz w:val="20"/>
          <w:szCs w:val="20"/>
        </w:rPr>
        <w:t>)</w:t>
      </w:r>
    </w:p>
    <w:p w:rsidR="002B4ABB" w:rsidRPr="002B4ABB" w:rsidRDefault="002B4ABB" w:rsidP="002B4ABB">
      <w:pPr>
        <w:bidi w:val="0"/>
        <w:spacing w:before="100" w:beforeAutospacing="1" w:after="100" w:afterAutospacing="1" w:line="24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B4ABB">
        <w:rPr>
          <w:rFonts w:ascii="Arial" w:eastAsia="Times New Roman" w:hAnsi="Arial" w:cs="Arial"/>
          <w:color w:val="000000"/>
          <w:sz w:val="20"/>
          <w:szCs w:val="20"/>
        </w:rPr>
        <w:t xml:space="preserve">As one of the best click reactions to date, the copper-catalyzed </w:t>
      </w:r>
      <w:proofErr w:type="spell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azide</w:t>
      </w:r>
      <w:proofErr w:type="spellEnd"/>
      <w:r w:rsidRPr="002B4ABB">
        <w:rPr>
          <w:rFonts w:ascii="Arial" w:eastAsia="Times New Roman" w:hAnsi="Arial" w:cs="Arial"/>
          <w:color w:val="000000"/>
          <w:sz w:val="20"/>
          <w:szCs w:val="20"/>
        </w:rPr>
        <w:t>-alkyne cycloaddition features an enormous rate acceleration of 10</w:t>
      </w:r>
      <w:r w:rsidRPr="002B4ABB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7</w:t>
      </w:r>
      <w:r w:rsidRPr="002B4ABB">
        <w:rPr>
          <w:rFonts w:ascii="Arial" w:eastAsia="Times New Roman" w:hAnsi="Arial" w:cs="Arial"/>
          <w:color w:val="000000"/>
          <w:sz w:val="20"/>
          <w:szCs w:val="20"/>
        </w:rPr>
        <w:t> to 10</w:t>
      </w:r>
      <w:r w:rsidRPr="002B4ABB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8</w:t>
      </w:r>
      <w:r w:rsidRPr="002B4ABB">
        <w:rPr>
          <w:rFonts w:ascii="Arial" w:eastAsia="Times New Roman" w:hAnsi="Arial" w:cs="Arial"/>
          <w:color w:val="000000"/>
          <w:sz w:val="20"/>
          <w:szCs w:val="20"/>
        </w:rPr>
        <w:t xml:space="preserve"> compared to the </w:t>
      </w:r>
      <w:proofErr w:type="spell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uncatalyzed</w:t>
      </w:r>
      <w:proofErr w:type="spellEnd"/>
      <w:r w:rsidRPr="002B4ABB">
        <w:rPr>
          <w:rFonts w:ascii="Arial" w:eastAsia="Times New Roman" w:hAnsi="Arial" w:cs="Arial"/>
          <w:color w:val="000000"/>
          <w:sz w:val="20"/>
          <w:szCs w:val="20"/>
        </w:rPr>
        <w:t xml:space="preserve"> 1</w:t>
      </w:r>
      <w:proofErr w:type="gram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,3</w:t>
      </w:r>
      <w:proofErr w:type="gramEnd"/>
      <w:r w:rsidRPr="002B4ABB">
        <w:rPr>
          <w:rFonts w:ascii="Arial" w:eastAsia="Times New Roman" w:hAnsi="Arial" w:cs="Arial"/>
          <w:color w:val="000000"/>
          <w:sz w:val="20"/>
          <w:szCs w:val="20"/>
        </w:rPr>
        <w:t>-dipolar cycloaddition. It succeeds over a broad temperature range, is insensitive to aqueous conditions and a pH range over 4 to 12, and tolerates a broad range of functional groups. Pure products can be isolated by simple filtration or extraction without the need for chromatography or recrystallization.</w:t>
      </w:r>
    </w:p>
    <w:p w:rsidR="002B4ABB" w:rsidRPr="002B4ABB" w:rsidRDefault="002B4ABB" w:rsidP="002B4ABB">
      <w:pPr>
        <w:bidi w:val="0"/>
        <w:spacing w:before="100" w:beforeAutospacing="1" w:after="100" w:afterAutospacing="1" w:line="244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143500" cy="666750"/>
            <wp:effectExtent l="0" t="0" r="0" b="0"/>
            <wp:docPr id="2" name="Picture 2" descr="http://www.organic-chemistry.org/abstracts/lit2/773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rganic-chemistry.org/abstracts/lit2/773a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ABB">
        <w:rPr>
          <w:rFonts w:ascii="Arial" w:eastAsia="Times New Roman" w:hAnsi="Arial" w:cs="Arial"/>
          <w:color w:val="000000"/>
          <w:sz w:val="20"/>
          <w:szCs w:val="20"/>
        </w:rPr>
        <w:br/>
        <w:t xml:space="preserve">F. </w:t>
      </w:r>
      <w:proofErr w:type="spell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Himo</w:t>
      </w:r>
      <w:proofErr w:type="spellEnd"/>
      <w:r w:rsidRPr="002B4ABB">
        <w:rPr>
          <w:rFonts w:ascii="Arial" w:eastAsia="Times New Roman" w:hAnsi="Arial" w:cs="Arial"/>
          <w:color w:val="000000"/>
          <w:sz w:val="20"/>
          <w:szCs w:val="20"/>
        </w:rPr>
        <w:t xml:space="preserve">, T. Lovell, R. </w:t>
      </w:r>
      <w:proofErr w:type="spell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Hilgraf</w:t>
      </w:r>
      <w:proofErr w:type="spellEnd"/>
      <w:r w:rsidRPr="002B4ABB">
        <w:rPr>
          <w:rFonts w:ascii="Arial" w:eastAsia="Times New Roman" w:hAnsi="Arial" w:cs="Arial"/>
          <w:color w:val="000000"/>
          <w:sz w:val="20"/>
          <w:szCs w:val="20"/>
        </w:rPr>
        <w:t xml:space="preserve">, V. V. </w:t>
      </w:r>
      <w:proofErr w:type="spell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Rostovtsev</w:t>
      </w:r>
      <w:proofErr w:type="spellEnd"/>
      <w:r w:rsidRPr="002B4ABB">
        <w:rPr>
          <w:rFonts w:ascii="Arial" w:eastAsia="Times New Roman" w:hAnsi="Arial" w:cs="Arial"/>
          <w:color w:val="000000"/>
          <w:sz w:val="20"/>
          <w:szCs w:val="20"/>
        </w:rPr>
        <w:t xml:space="preserve">, L. </w:t>
      </w:r>
      <w:proofErr w:type="spell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Noodleman</w:t>
      </w:r>
      <w:proofErr w:type="spellEnd"/>
      <w:r w:rsidRPr="002B4ABB">
        <w:rPr>
          <w:rFonts w:ascii="Arial" w:eastAsia="Times New Roman" w:hAnsi="Arial" w:cs="Arial"/>
          <w:color w:val="000000"/>
          <w:sz w:val="20"/>
          <w:szCs w:val="20"/>
        </w:rPr>
        <w:t xml:space="preserve">, K. B. </w:t>
      </w:r>
      <w:proofErr w:type="spell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Sharpless</w:t>
      </w:r>
      <w:proofErr w:type="spellEnd"/>
      <w:r w:rsidRPr="002B4ABB">
        <w:rPr>
          <w:rFonts w:ascii="Arial" w:eastAsia="Times New Roman" w:hAnsi="Arial" w:cs="Arial"/>
          <w:color w:val="000000"/>
          <w:sz w:val="20"/>
          <w:szCs w:val="20"/>
        </w:rPr>
        <w:t xml:space="preserve">, V. V. </w:t>
      </w:r>
      <w:proofErr w:type="spell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Fokin</w:t>
      </w:r>
      <w:proofErr w:type="spellEnd"/>
      <w:r w:rsidRPr="002B4ABB">
        <w:rPr>
          <w:rFonts w:ascii="Arial" w:eastAsia="Times New Roman" w:hAnsi="Arial" w:cs="Arial"/>
          <w:color w:val="000000"/>
          <w:sz w:val="20"/>
          <w:szCs w:val="20"/>
        </w:rPr>
        <w:t>, </w:t>
      </w:r>
      <w:r w:rsidRPr="002B4ABB">
        <w:rPr>
          <w:rFonts w:ascii="Arial" w:eastAsia="Times New Roman" w:hAnsi="Arial" w:cs="Arial"/>
          <w:i/>
          <w:iCs/>
          <w:color w:val="000000"/>
          <w:sz w:val="20"/>
          <w:szCs w:val="20"/>
        </w:rPr>
        <w:t>J. Am. Chem. Soc.</w:t>
      </w:r>
      <w:r w:rsidRPr="002B4ABB">
        <w:rPr>
          <w:rFonts w:ascii="Arial" w:eastAsia="Times New Roman" w:hAnsi="Arial" w:cs="Arial"/>
          <w:color w:val="000000"/>
          <w:sz w:val="20"/>
          <w:szCs w:val="20"/>
        </w:rPr>
        <w:t>, </w:t>
      </w:r>
      <w:r w:rsidRPr="002B4ABB">
        <w:rPr>
          <w:rFonts w:ascii="Arial" w:eastAsia="Times New Roman" w:hAnsi="Arial" w:cs="Arial"/>
          <w:b/>
          <w:bCs/>
          <w:color w:val="000000"/>
          <w:sz w:val="20"/>
          <w:szCs w:val="20"/>
        </w:rPr>
        <w:t>2005</w:t>
      </w:r>
      <w:r w:rsidRPr="002B4ABB">
        <w:rPr>
          <w:rFonts w:ascii="Arial" w:eastAsia="Times New Roman" w:hAnsi="Arial" w:cs="Arial"/>
          <w:color w:val="000000"/>
          <w:sz w:val="20"/>
          <w:szCs w:val="20"/>
        </w:rPr>
        <w:t>, </w:t>
      </w:r>
      <w:r w:rsidRPr="002B4ABB">
        <w:rPr>
          <w:rFonts w:ascii="Arial" w:eastAsia="Times New Roman" w:hAnsi="Arial" w:cs="Arial"/>
          <w:i/>
          <w:iCs/>
          <w:color w:val="000000"/>
          <w:sz w:val="20"/>
          <w:szCs w:val="20"/>
        </w:rPr>
        <w:t>127</w:t>
      </w:r>
      <w:r w:rsidRPr="002B4ABB">
        <w:rPr>
          <w:rFonts w:ascii="Arial" w:eastAsia="Times New Roman" w:hAnsi="Arial" w:cs="Arial"/>
          <w:color w:val="000000"/>
          <w:sz w:val="20"/>
          <w:szCs w:val="20"/>
        </w:rPr>
        <w:t>, 210-216.</w:t>
      </w:r>
    </w:p>
    <w:p w:rsidR="002B4ABB" w:rsidRPr="002B4ABB" w:rsidRDefault="002B4ABB" w:rsidP="002B4ABB">
      <w:pPr>
        <w:bidi w:val="0"/>
        <w:spacing w:before="100" w:beforeAutospacing="1" w:after="100" w:afterAutospacing="1" w:line="24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B4ABB">
        <w:rPr>
          <w:rFonts w:ascii="Arial" w:eastAsia="Times New Roman" w:hAnsi="Arial" w:cs="Arial"/>
          <w:color w:val="000000"/>
          <w:sz w:val="20"/>
          <w:szCs w:val="20"/>
        </w:rPr>
        <w:t xml:space="preserve">The active </w:t>
      </w:r>
      <w:proofErr w:type="gram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Cu(</w:t>
      </w:r>
      <w:proofErr w:type="gramEnd"/>
      <w:r w:rsidRPr="002B4ABB">
        <w:rPr>
          <w:rFonts w:ascii="Arial" w:eastAsia="Times New Roman" w:hAnsi="Arial" w:cs="Arial"/>
          <w:color w:val="000000"/>
          <w:sz w:val="20"/>
          <w:szCs w:val="20"/>
        </w:rPr>
        <w:t xml:space="preserve">I) catalyst can be generated from Cu(I) salts or Cu(II) salts using sodium </w:t>
      </w:r>
      <w:proofErr w:type="spell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ascorbate</w:t>
      </w:r>
      <w:proofErr w:type="spellEnd"/>
      <w:r w:rsidRPr="002B4ABB">
        <w:rPr>
          <w:rFonts w:ascii="Arial" w:eastAsia="Times New Roman" w:hAnsi="Arial" w:cs="Arial"/>
          <w:color w:val="000000"/>
          <w:sz w:val="20"/>
          <w:szCs w:val="20"/>
        </w:rPr>
        <w:t xml:space="preserve"> as the reducing agent. Addition of a slight excess of sodium </w:t>
      </w:r>
      <w:proofErr w:type="spell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ascorbate</w:t>
      </w:r>
      <w:proofErr w:type="spellEnd"/>
      <w:r w:rsidRPr="002B4ABB">
        <w:rPr>
          <w:rFonts w:ascii="Arial" w:eastAsia="Times New Roman" w:hAnsi="Arial" w:cs="Arial"/>
          <w:color w:val="000000"/>
          <w:sz w:val="20"/>
          <w:szCs w:val="20"/>
        </w:rPr>
        <w:t xml:space="preserve"> prevents the formation of oxidative </w:t>
      </w:r>
      <w:proofErr w:type="spell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homocoupling</w:t>
      </w:r>
      <w:proofErr w:type="spellEnd"/>
      <w:r w:rsidRPr="002B4ABB">
        <w:rPr>
          <w:rFonts w:ascii="Arial" w:eastAsia="Times New Roman" w:hAnsi="Arial" w:cs="Arial"/>
          <w:color w:val="000000"/>
          <w:sz w:val="20"/>
          <w:szCs w:val="20"/>
        </w:rPr>
        <w:t xml:space="preserve"> products. Disproportionation of a </w:t>
      </w:r>
      <w:proofErr w:type="gram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Cu(</w:t>
      </w:r>
      <w:proofErr w:type="gramEnd"/>
      <w:r w:rsidRPr="002B4ABB">
        <w:rPr>
          <w:rFonts w:ascii="Arial" w:eastAsia="Times New Roman" w:hAnsi="Arial" w:cs="Arial"/>
          <w:color w:val="000000"/>
          <w:sz w:val="20"/>
          <w:szCs w:val="20"/>
        </w:rPr>
        <w:t>II) salt in presence of a Cu wire can also be used to form active Cu(I).</w:t>
      </w:r>
    </w:p>
    <w:p w:rsidR="002B4ABB" w:rsidRPr="002B4ABB" w:rsidRDefault="002B4ABB" w:rsidP="002B4ABB">
      <w:pPr>
        <w:bidi w:val="0"/>
        <w:spacing w:before="100" w:beforeAutospacing="1" w:after="100" w:afterAutospacing="1" w:line="24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B4ABB">
        <w:rPr>
          <w:rFonts w:ascii="Arial" w:eastAsia="Times New Roman" w:hAnsi="Arial" w:cs="Arial"/>
          <w:color w:val="000000"/>
          <w:sz w:val="20"/>
          <w:szCs w:val="20"/>
        </w:rPr>
        <w:t xml:space="preserve">DFT calculations have shown that coordination of </w:t>
      </w:r>
      <w:proofErr w:type="gram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Cu(</w:t>
      </w:r>
      <w:proofErr w:type="gramEnd"/>
      <w:r w:rsidRPr="002B4ABB">
        <w:rPr>
          <w:rFonts w:ascii="Arial" w:eastAsia="Times New Roman" w:hAnsi="Arial" w:cs="Arial"/>
          <w:color w:val="000000"/>
          <w:sz w:val="20"/>
          <w:szCs w:val="20"/>
        </w:rPr>
        <w:t xml:space="preserve">I) to the alkyne is slightly endothermic in </w:t>
      </w:r>
      <w:proofErr w:type="spell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MeCN</w:t>
      </w:r>
      <w:proofErr w:type="spellEnd"/>
      <w:r w:rsidRPr="002B4ABB">
        <w:rPr>
          <w:rFonts w:ascii="Arial" w:eastAsia="Times New Roman" w:hAnsi="Arial" w:cs="Arial"/>
          <w:color w:val="000000"/>
          <w:sz w:val="20"/>
          <w:szCs w:val="20"/>
        </w:rPr>
        <w:t>, but exothermic in water, which is in agreement with an observed rate acceleration in water. However, coordination of Cu to the acetylene does not accelerate a 1</w:t>
      </w:r>
      <w:proofErr w:type="gram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,3</w:t>
      </w:r>
      <w:proofErr w:type="gramEnd"/>
      <w:r w:rsidRPr="002B4ABB">
        <w:rPr>
          <w:rFonts w:ascii="Arial" w:eastAsia="Times New Roman" w:hAnsi="Arial" w:cs="Arial"/>
          <w:color w:val="000000"/>
          <w:sz w:val="20"/>
          <w:szCs w:val="20"/>
        </w:rPr>
        <w:t xml:space="preserve">-dipolar cycloaddition. Such a process has been calculated to be even less favorable than the </w:t>
      </w:r>
      <w:proofErr w:type="spell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uncatalyzed</w:t>
      </w:r>
      <w:proofErr w:type="spellEnd"/>
      <w:r w:rsidRPr="002B4ABB">
        <w:rPr>
          <w:rFonts w:ascii="Arial" w:eastAsia="Times New Roman" w:hAnsi="Arial" w:cs="Arial"/>
          <w:color w:val="000000"/>
          <w:sz w:val="20"/>
          <w:szCs w:val="20"/>
        </w:rPr>
        <w:t xml:space="preserve"> 1</w:t>
      </w:r>
      <w:proofErr w:type="gram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,3</w:t>
      </w:r>
      <w:proofErr w:type="gramEnd"/>
      <w:r w:rsidRPr="002B4ABB">
        <w:rPr>
          <w:rFonts w:ascii="Arial" w:eastAsia="Times New Roman" w:hAnsi="Arial" w:cs="Arial"/>
          <w:color w:val="000000"/>
          <w:sz w:val="20"/>
          <w:szCs w:val="20"/>
        </w:rPr>
        <w:t xml:space="preserve">-dipolar cycloaddition. Instead, a copper </w:t>
      </w:r>
      <w:proofErr w:type="spell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acetylide</w:t>
      </w:r>
      <w:proofErr w:type="spellEnd"/>
      <w:r w:rsidRPr="002B4ABB">
        <w:rPr>
          <w:rFonts w:ascii="Arial" w:eastAsia="Times New Roman" w:hAnsi="Arial" w:cs="Arial"/>
          <w:color w:val="000000"/>
          <w:sz w:val="20"/>
          <w:szCs w:val="20"/>
        </w:rPr>
        <w:t xml:space="preserve"> forms, after which the </w:t>
      </w:r>
      <w:proofErr w:type="spell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azide</w:t>
      </w:r>
      <w:proofErr w:type="spellEnd"/>
      <w:r w:rsidRPr="002B4ABB">
        <w:rPr>
          <w:rFonts w:ascii="Arial" w:eastAsia="Times New Roman" w:hAnsi="Arial" w:cs="Arial"/>
          <w:color w:val="000000"/>
          <w:sz w:val="20"/>
          <w:szCs w:val="20"/>
        </w:rPr>
        <w:t xml:space="preserve"> displaces another ligand and binds to the copper. Then, an unusual six-membered </w:t>
      </w:r>
      <w:proofErr w:type="gram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copper(</w:t>
      </w:r>
      <w:proofErr w:type="gramEnd"/>
      <w:r w:rsidRPr="002B4ABB">
        <w:rPr>
          <w:rFonts w:ascii="Arial" w:eastAsia="Times New Roman" w:hAnsi="Arial" w:cs="Arial"/>
          <w:color w:val="000000"/>
          <w:sz w:val="20"/>
          <w:szCs w:val="20"/>
        </w:rPr>
        <w:t xml:space="preserve">III) </w:t>
      </w:r>
      <w:proofErr w:type="spell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metallacycle</w:t>
      </w:r>
      <w:proofErr w:type="spellEnd"/>
      <w:r w:rsidRPr="002B4ABB">
        <w:rPr>
          <w:rFonts w:ascii="Arial" w:eastAsia="Times New Roman" w:hAnsi="Arial" w:cs="Arial"/>
          <w:color w:val="000000"/>
          <w:sz w:val="20"/>
          <w:szCs w:val="20"/>
        </w:rPr>
        <w:t xml:space="preserve"> is formed. The barrier for this process has been calculated to be considerably lower than the one for the </w:t>
      </w:r>
      <w:proofErr w:type="spell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uncatalyzed</w:t>
      </w:r>
      <w:proofErr w:type="spellEnd"/>
      <w:r w:rsidRPr="002B4ABB">
        <w:rPr>
          <w:rFonts w:ascii="Arial" w:eastAsia="Times New Roman" w:hAnsi="Arial" w:cs="Arial"/>
          <w:color w:val="000000"/>
          <w:sz w:val="20"/>
          <w:szCs w:val="20"/>
        </w:rPr>
        <w:t xml:space="preserve"> reaction. The calculated rate at room temperature is 1 s</w:t>
      </w:r>
      <w:r w:rsidRPr="002B4ABB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-1</w:t>
      </w:r>
      <w:r w:rsidRPr="002B4ABB">
        <w:rPr>
          <w:rFonts w:ascii="Arial" w:eastAsia="Times New Roman" w:hAnsi="Arial" w:cs="Arial"/>
          <w:color w:val="000000"/>
          <w:sz w:val="20"/>
          <w:szCs w:val="20"/>
        </w:rPr>
        <w:t xml:space="preserve">, which is quite reasonable. Ring contraction to a </w:t>
      </w:r>
      <w:proofErr w:type="spell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triazolyl</w:t>
      </w:r>
      <w:proofErr w:type="spellEnd"/>
      <w:r w:rsidRPr="002B4ABB">
        <w:rPr>
          <w:rFonts w:ascii="Arial" w:eastAsia="Times New Roman" w:hAnsi="Arial" w:cs="Arial"/>
          <w:color w:val="000000"/>
          <w:sz w:val="20"/>
          <w:szCs w:val="20"/>
        </w:rPr>
        <w:t xml:space="preserve">-copper derivative is followed by </w:t>
      </w:r>
      <w:proofErr w:type="spell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protonolysis</w:t>
      </w:r>
      <w:proofErr w:type="spellEnd"/>
      <w:r w:rsidRPr="002B4ABB">
        <w:rPr>
          <w:rFonts w:ascii="Arial" w:eastAsia="Times New Roman" w:hAnsi="Arial" w:cs="Arial"/>
          <w:color w:val="000000"/>
          <w:sz w:val="20"/>
          <w:szCs w:val="20"/>
        </w:rPr>
        <w:t xml:space="preserve"> that delivers the </w:t>
      </w:r>
      <w:proofErr w:type="spell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triazole</w:t>
      </w:r>
      <w:proofErr w:type="spellEnd"/>
      <w:r w:rsidRPr="002B4ABB">
        <w:rPr>
          <w:rFonts w:ascii="Arial" w:eastAsia="Times New Roman" w:hAnsi="Arial" w:cs="Arial"/>
          <w:color w:val="000000"/>
          <w:sz w:val="20"/>
          <w:szCs w:val="20"/>
        </w:rPr>
        <w:t xml:space="preserve"> product and closes the catalytic cycle.</w:t>
      </w:r>
    </w:p>
    <w:p w:rsidR="002B4ABB" w:rsidRPr="002B4ABB" w:rsidRDefault="002B4ABB" w:rsidP="002B4ABB">
      <w:pPr>
        <w:bidi w:val="0"/>
        <w:spacing w:before="100" w:beforeAutospacing="1" w:after="100" w:afterAutospacing="1" w:line="244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5A3696"/>
          <w:sz w:val="15"/>
          <w:szCs w:val="15"/>
        </w:rPr>
        <w:drawing>
          <wp:inline distT="0" distB="0" distL="0" distR="0">
            <wp:extent cx="3848100" cy="2886075"/>
            <wp:effectExtent l="0" t="0" r="0" b="9525"/>
            <wp:docPr id="1" name="Picture 1" descr="http://www.organic-chemistry.org/abstracts/lit2/773n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rganic-chemistry.org/abstracts/lit2/773n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ABB">
        <w:rPr>
          <w:rFonts w:ascii="Arial" w:eastAsia="Times New Roman" w:hAnsi="Arial" w:cs="Arial"/>
          <w:color w:val="000000"/>
          <w:sz w:val="20"/>
          <w:szCs w:val="20"/>
        </w:rPr>
        <w:br/>
        <w:t xml:space="preserve">F. </w:t>
      </w:r>
      <w:proofErr w:type="spell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Himo</w:t>
      </w:r>
      <w:proofErr w:type="spellEnd"/>
      <w:r w:rsidRPr="002B4ABB">
        <w:rPr>
          <w:rFonts w:ascii="Arial" w:eastAsia="Times New Roman" w:hAnsi="Arial" w:cs="Arial"/>
          <w:color w:val="000000"/>
          <w:sz w:val="20"/>
          <w:szCs w:val="20"/>
        </w:rPr>
        <w:t xml:space="preserve">, T. Lovell, R. </w:t>
      </w:r>
      <w:proofErr w:type="spell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Hilgraf</w:t>
      </w:r>
      <w:proofErr w:type="spellEnd"/>
      <w:r w:rsidRPr="002B4ABB">
        <w:rPr>
          <w:rFonts w:ascii="Arial" w:eastAsia="Times New Roman" w:hAnsi="Arial" w:cs="Arial"/>
          <w:color w:val="000000"/>
          <w:sz w:val="20"/>
          <w:szCs w:val="20"/>
        </w:rPr>
        <w:t xml:space="preserve">, V. V. </w:t>
      </w:r>
      <w:proofErr w:type="spell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Rostovtsev</w:t>
      </w:r>
      <w:proofErr w:type="spellEnd"/>
      <w:r w:rsidRPr="002B4ABB">
        <w:rPr>
          <w:rFonts w:ascii="Arial" w:eastAsia="Times New Roman" w:hAnsi="Arial" w:cs="Arial"/>
          <w:color w:val="000000"/>
          <w:sz w:val="20"/>
          <w:szCs w:val="20"/>
        </w:rPr>
        <w:t xml:space="preserve">, L. </w:t>
      </w:r>
      <w:proofErr w:type="spell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Noodleman</w:t>
      </w:r>
      <w:proofErr w:type="spellEnd"/>
      <w:r w:rsidRPr="002B4ABB">
        <w:rPr>
          <w:rFonts w:ascii="Arial" w:eastAsia="Times New Roman" w:hAnsi="Arial" w:cs="Arial"/>
          <w:color w:val="000000"/>
          <w:sz w:val="20"/>
          <w:szCs w:val="20"/>
        </w:rPr>
        <w:t xml:space="preserve">, K. B. </w:t>
      </w:r>
      <w:proofErr w:type="spell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Sharpless</w:t>
      </w:r>
      <w:proofErr w:type="spellEnd"/>
      <w:r w:rsidRPr="002B4ABB">
        <w:rPr>
          <w:rFonts w:ascii="Arial" w:eastAsia="Times New Roman" w:hAnsi="Arial" w:cs="Arial"/>
          <w:color w:val="000000"/>
          <w:sz w:val="20"/>
          <w:szCs w:val="20"/>
        </w:rPr>
        <w:t xml:space="preserve">, V. V. </w:t>
      </w:r>
      <w:proofErr w:type="spellStart"/>
      <w:r w:rsidRPr="002B4ABB">
        <w:rPr>
          <w:rFonts w:ascii="Arial" w:eastAsia="Times New Roman" w:hAnsi="Arial" w:cs="Arial"/>
          <w:color w:val="000000"/>
          <w:sz w:val="20"/>
          <w:szCs w:val="20"/>
        </w:rPr>
        <w:t>Fokin</w:t>
      </w:r>
      <w:proofErr w:type="spellEnd"/>
      <w:r w:rsidRPr="002B4ABB">
        <w:rPr>
          <w:rFonts w:ascii="Arial" w:eastAsia="Times New Roman" w:hAnsi="Arial" w:cs="Arial"/>
          <w:color w:val="000000"/>
          <w:sz w:val="20"/>
          <w:szCs w:val="20"/>
        </w:rPr>
        <w:t>, </w:t>
      </w:r>
      <w:r w:rsidRPr="002B4ABB">
        <w:rPr>
          <w:rFonts w:ascii="Arial" w:eastAsia="Times New Roman" w:hAnsi="Arial" w:cs="Arial"/>
          <w:i/>
          <w:iCs/>
          <w:color w:val="000000"/>
          <w:sz w:val="20"/>
          <w:szCs w:val="20"/>
        </w:rPr>
        <w:t>J. Am. Chem. Soc.</w:t>
      </w:r>
      <w:r w:rsidRPr="002B4ABB">
        <w:rPr>
          <w:rFonts w:ascii="Arial" w:eastAsia="Times New Roman" w:hAnsi="Arial" w:cs="Arial"/>
          <w:color w:val="000000"/>
          <w:sz w:val="20"/>
          <w:szCs w:val="20"/>
        </w:rPr>
        <w:t>, </w:t>
      </w:r>
      <w:r w:rsidRPr="002B4ABB">
        <w:rPr>
          <w:rFonts w:ascii="Arial" w:eastAsia="Times New Roman" w:hAnsi="Arial" w:cs="Arial"/>
          <w:b/>
          <w:bCs/>
          <w:color w:val="000000"/>
          <w:sz w:val="20"/>
          <w:szCs w:val="20"/>
        </w:rPr>
        <w:t>2005</w:t>
      </w:r>
      <w:r w:rsidRPr="002B4ABB">
        <w:rPr>
          <w:rFonts w:ascii="Arial" w:eastAsia="Times New Roman" w:hAnsi="Arial" w:cs="Arial"/>
          <w:color w:val="000000"/>
          <w:sz w:val="20"/>
          <w:szCs w:val="20"/>
        </w:rPr>
        <w:t>, </w:t>
      </w:r>
      <w:r w:rsidRPr="002B4ABB">
        <w:rPr>
          <w:rFonts w:ascii="Arial" w:eastAsia="Times New Roman" w:hAnsi="Arial" w:cs="Arial"/>
          <w:i/>
          <w:iCs/>
          <w:color w:val="000000"/>
          <w:sz w:val="20"/>
          <w:szCs w:val="20"/>
        </w:rPr>
        <w:t>127</w:t>
      </w:r>
      <w:r w:rsidRPr="002B4ABB">
        <w:rPr>
          <w:rFonts w:ascii="Arial" w:eastAsia="Times New Roman" w:hAnsi="Arial" w:cs="Arial"/>
          <w:color w:val="000000"/>
          <w:sz w:val="20"/>
          <w:szCs w:val="20"/>
        </w:rPr>
        <w:t>, 210-216.</w:t>
      </w:r>
    </w:p>
    <w:p w:rsidR="002B4ABB" w:rsidRDefault="002B4ABB" w:rsidP="002B4ABB">
      <w:pPr>
        <w:bidi w:val="0"/>
        <w:rPr>
          <w:rFonts w:hint="cs"/>
        </w:rPr>
      </w:pPr>
      <w:bookmarkStart w:id="0" w:name="_GoBack"/>
      <w:bookmarkEnd w:id="0"/>
    </w:p>
    <w:sectPr w:rsidR="002B4ABB" w:rsidSect="001C553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ABB"/>
    <w:rsid w:val="001C5531"/>
    <w:rsid w:val="002B4ABB"/>
    <w:rsid w:val="00E1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2B4A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A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4AB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B4ABB"/>
  </w:style>
  <w:style w:type="paragraph" w:styleId="BalloonText">
    <w:name w:val="Balloon Text"/>
    <w:basedOn w:val="Normal"/>
    <w:link w:val="BalloonTextChar"/>
    <w:uiPriority w:val="99"/>
    <w:semiHidden/>
    <w:unhideWhenUsed/>
    <w:rsid w:val="002B4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A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2B4A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A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4AB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B4ABB"/>
  </w:style>
  <w:style w:type="paragraph" w:styleId="BalloonText">
    <w:name w:val="Balloon Text"/>
    <w:basedOn w:val="Normal"/>
    <w:link w:val="BalloonTextChar"/>
    <w:uiPriority w:val="99"/>
    <w:semiHidden/>
    <w:unhideWhenUsed/>
    <w:rsid w:val="002B4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A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6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rganic-chemistry.org/abstracts/lit2/773.shtm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student-comp3</dc:creator>
  <cp:lastModifiedBy>student-comp3</cp:lastModifiedBy>
  <cp:revision>1</cp:revision>
  <dcterms:created xsi:type="dcterms:W3CDTF">2015-05-17T08:55:00Z</dcterms:created>
  <dcterms:modified xsi:type="dcterms:W3CDTF">2015-05-17T08:56:00Z</dcterms:modified>
</cp:coreProperties>
</file>