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drawing>
          <wp:inline distR="114300" distT="114300" distB="114300" distL="114300">
            <wp:extent cy="5844611" cx="4386263"/>
            <wp:effectExtent t="0" b="0" r="0" l="0"/>
            <wp:docPr id="5" name="image10.png"/>
            <a:graphic>
              <a:graphicData uri="http://schemas.openxmlformats.org/drawingml/2006/picture">
                <pic:pic>
                  <pic:nvPicPr>
                    <pic:cNvPr id="0" name="image10.png"/>
                    <pic:cNvPicPr preferRelativeResize="0"/>
                  </pic:nvPicPr>
                  <pic:blipFill>
                    <a:blip r:embed="rId6"/>
                    <a:srcRect t="0" b="0" r="0" l="0"/>
                    <a:stretch>
                      <a:fillRect/>
                    </a:stretch>
                  </pic:blipFill>
                  <pic:spPr>
                    <a:xfrm>
                      <a:off y="0" x="0"/>
                      <a:ext cy="5844611" cx="4386263"/>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60" w:line="360"/>
        <w:contextualSpacing w:val="0"/>
      </w:pPr>
      <w:r w:rsidRPr="00000000" w:rsidR="00000000" w:rsidDel="00000000">
        <w:rPr>
          <w:sz w:val="24"/>
          <w:rtl w:val="0"/>
        </w:rPr>
        <w:t xml:space="preserve">Figure y. PrediXcan performance (R2 of GReX vs. observed expression in red) compared to gene expression heritability estimates (black with 95% confidence interval in gray). Performance was assessed using 10-fold cross-validation in the DGN whole blood cohort (n=922) with LASSO and Polygenic score (p&lt;1e-04).</w:t>
      </w:r>
    </w:p>
    <w:p w:rsidP="00000000" w:rsidRPr="00000000" w:rsidR="00000000" w:rsidDel="00000000" w:rsidRDefault="00000000">
      <w:pPr>
        <w:spacing w:lineRule="auto" w:after="160" w:line="36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971800" cx="5943600"/>
            <wp:effectExtent t="0" b="0" r="0" l="0"/>
            <wp:docPr id="3" name="image07.png"/>
            <a:graphic>
              <a:graphicData uri="http://schemas.openxmlformats.org/drawingml/2006/picture">
                <pic:pic>
                  <pic:nvPicPr>
                    <pic:cNvPr id="0" name="image07.png"/>
                    <pic:cNvPicPr preferRelativeResize="0"/>
                  </pic:nvPicPr>
                  <pic:blipFill>
                    <a:blip r:embed="rId7"/>
                    <a:srcRect t="0" b="0" r="0" l="0"/>
                    <a:stretch>
                      <a:fillRect/>
                    </a:stretch>
                  </pic:blipFill>
                  <pic:spPr>
                    <a:xfrm>
                      <a:off y="0" x="0"/>
                      <a:ext cy="2971800" cx="5943600"/>
                    </a:xfrm>
                    <a:prstGeom prst="rect"/>
                    <a:ln/>
                  </pic:spPr>
                </pic:pic>
              </a:graphicData>
            </a:graphic>
          </wp:inline>
        </w:drawing>
      </w:r>
      <w:commentRangeStart w:id="0"/>
      <w:commentRangeStart w:id="1"/>
      <w:commentRangeStart w:id="2"/>
      <w:commentRangeStart w:id="3"/>
      <w:commentRangeStart w:id="4"/>
      <w:commentRangeStart w:id="5"/>
      <w:r w:rsidRPr="00000000" w:rsidR="00000000" w:rsidDel="00000000">
        <w:rPr>
          <w:b w:val="1"/>
          <w:sz w:val="24"/>
          <w:rtl w:val="0"/>
        </w:rPr>
        <w:t xml:space="preserve">Figure</w:t>
      </w:r>
      <w:commentRangeEnd w:id="0"/>
      <w:r w:rsidRPr="00000000" w:rsidR="00000000" w:rsidDel="00000000">
        <w:commentReference w:id="0"/>
      </w:r>
      <w:commentRangeEnd w:id="1"/>
      <w:r w:rsidRPr="00000000" w:rsidR="00000000" w:rsidDel="00000000">
        <w:commentReference w:id="1"/>
      </w:r>
      <w:commentRangeEnd w:id="2"/>
      <w:r w:rsidRPr="00000000" w:rsidR="00000000" w:rsidDel="00000000">
        <w:commentReference w:id="2"/>
      </w:r>
      <w:commentRangeEnd w:id="3"/>
      <w:r w:rsidRPr="00000000" w:rsidR="00000000" w:rsidDel="00000000">
        <w:commentReference w:id="3"/>
      </w:r>
      <w:commentRangeEnd w:id="4"/>
      <w:r w:rsidRPr="00000000" w:rsidR="00000000" w:rsidDel="00000000">
        <w:commentReference w:id="4"/>
      </w:r>
      <w:commentRangeEnd w:id="5"/>
      <w:r w:rsidRPr="00000000" w:rsidR="00000000" w:rsidDel="00000000">
        <w:commentReference w:id="5"/>
      </w:r>
      <w:r w:rsidRPr="00000000" w:rsidR="00000000" w:rsidDel="00000000">
        <w:rPr>
          <w:b w:val="1"/>
          <w:sz w:val="24"/>
          <w:rtl w:val="0"/>
        </w:rPr>
        <w:t xml:space="preserve"> 3. Prediction performance of </w:t>
      </w:r>
      <w:r w:rsidRPr="00000000" w:rsidR="00000000" w:rsidDel="00000000">
        <w:rPr>
          <w:b w:val="1"/>
          <w:sz w:val="24"/>
          <w:rtl w:val="0"/>
        </w:rPr>
        <w:t xml:space="preserve">elastic net </w:t>
      </w:r>
      <w:r w:rsidRPr="00000000" w:rsidR="00000000" w:rsidDel="00000000">
        <w:rPr>
          <w:b w:val="1"/>
          <w:sz w:val="24"/>
          <w:rtl w:val="0"/>
        </w:rPr>
        <w:t xml:space="preserve">and replication correlation.</w:t>
      </w:r>
      <w:r w:rsidRPr="00000000" w:rsidR="00000000" w:rsidDel="00000000">
        <w:rPr>
          <w:sz w:val="24"/>
          <w:rtl w:val="0"/>
        </w:rPr>
        <w:t xml:space="preserve"> Using whole blood prediction models trained in </w:t>
      </w:r>
      <w:r w:rsidRPr="00000000" w:rsidR="00000000" w:rsidDel="00000000">
        <w:rPr>
          <w:sz w:val="24"/>
          <w:rtl w:val="0"/>
        </w:rPr>
        <w:t xml:space="preserve">DGN</w:t>
      </w:r>
      <w:r w:rsidRPr="00000000" w:rsidR="00000000" w:rsidDel="00000000">
        <w:rPr>
          <w:sz w:val="24"/>
          <w:rtl w:val="0"/>
        </w:rPr>
        <w:t xml:space="preserve">, we compared predicted levels of expression with observed levels on lymphoblastoid cell lines from the 1000 Genomes project. RNA-sequenced data </w:t>
      </w:r>
      <w:r w:rsidRPr="00000000" w:rsidR="00000000" w:rsidDel="00000000">
        <w:rPr>
          <w:sz w:val="24"/>
          <w:rtl w:val="0"/>
        </w:rPr>
        <w:t xml:space="preserve">(n=421) </w:t>
      </w:r>
      <w:r w:rsidRPr="00000000" w:rsidR="00000000" w:rsidDel="00000000">
        <w:rPr>
          <w:sz w:val="24"/>
          <w:rtl w:val="0"/>
        </w:rPr>
        <w:t xml:space="preserve">on these cell lines have been made publicly available by the GEUVADIS consortium. Left panel shows the squared correlation, </w:t>
      </w:r>
      <m:oMathPara>
        <m:oMathParaPr>
          <m:jc m:val="left"/>
        </m:oMathParaPr>
        <m:oMath>
          <m:sSup>
            <m:sSupPr>
              <m:ctrlPr>
                <w:rPr>
                  <w:sz w:val="24"/>
                </w:rPr>
              </m:ctrlPr>
            </m:sSupPr>
            <m:e>
              <m:r>
                <w:rPr>
                  <w:sz w:val="24"/>
                </w:rPr>
                <m:t xml:space="preserve">R</m:t>
              </m:r>
            </m:e>
            <m:sup>
              <m:r>
                <w:rPr>
                  <w:sz w:val="24"/>
                </w:rPr>
                <m:t xml:space="preserve">2</m:t>
              </m:r>
            </m:sup>
          </m:sSup>
        </m:oMath>
      </m:oMathPara>
      <w:r w:rsidRPr="00000000" w:rsidR="00000000" w:rsidDel="00000000">
        <w:rPr>
          <w:sz w:val="24"/>
          <w:rtl w:val="0"/>
        </w:rPr>
        <w:t xml:space="preserve">,</w:t>
      </w:r>
      <w:r w:rsidRPr="00000000" w:rsidR="00000000" w:rsidDel="00000000">
        <w:rPr>
          <w:sz w:val="24"/>
          <w:rtl w:val="0"/>
        </w:rPr>
        <w:t xml:space="preserve"> between predicted and observed levels plotted against the null distribution of </w:t>
      </w:r>
      <m:oMathPara>
        <m:oMathParaPr>
          <m:jc m:val="left"/>
        </m:oMathParaPr>
        <m:oMath>
          <m:sSup>
            <m:sSupPr>
              <m:ctrlPr>
                <w:rPr>
                  <w:sz w:val="24"/>
                </w:rPr>
              </m:ctrlPr>
            </m:sSupPr>
            <m:e>
              <m:r>
                <w:rPr>
                  <w:sz w:val="24"/>
                </w:rPr>
                <m:t xml:space="preserve">R</m:t>
              </m:r>
            </m:e>
            <m:sup>
              <m:r>
                <w:rPr>
                  <w:sz w:val="24"/>
                </w:rPr>
                <m:t xml:space="preserve">2</m:t>
              </m:r>
            </m:sup>
          </m:sSup>
        </m:oMath>
      </m:oMathPara>
      <w:r w:rsidRPr="00000000" w:rsidR="00000000" w:rsidDel="00000000">
        <w:rPr>
          <w:sz w:val="24"/>
          <w:rtl w:val="0"/>
        </w:rPr>
        <w:t xml:space="preserve">. On a subset of the cell lines </w:t>
      </w:r>
      <w:r w:rsidRPr="00000000" w:rsidR="00000000" w:rsidDel="00000000">
        <w:rPr>
          <w:sz w:val="24"/>
          <w:rtl w:val="0"/>
        </w:rPr>
        <w:t xml:space="preserve">(n=47)</w:t>
      </w:r>
      <w:r w:rsidRPr="00000000" w:rsidR="00000000" w:rsidDel="00000000">
        <w:rPr>
          <w:sz w:val="24"/>
          <w:rtl w:val="0"/>
        </w:rPr>
        <w:t xml:space="preserve"> RNA-sequencing data from two different experiments were available (Lappalainen 2013, Pickrell 2010). Right panel shows </w:t>
      </w:r>
      <m:oMathPara>
        <m:oMathParaPr>
          <m:jc m:val="left"/>
        </m:oMathParaPr>
        <m:oMath>
          <m:sSup>
            <m:sSupPr>
              <m:ctrlPr>
                <w:rPr>
                  <w:sz w:val="24"/>
                </w:rPr>
              </m:ctrlPr>
            </m:sSupPr>
            <m:e>
              <m:r>
                <w:rPr>
                  <w:sz w:val="24"/>
                </w:rPr>
                <m:t xml:space="preserve">R</m:t>
              </m:r>
            </m:e>
            <m:sup>
              <m:r>
                <w:rPr>
                  <w:sz w:val="24"/>
                </w:rPr>
                <m:t xml:space="preserve">2</m:t>
              </m:r>
            </m:sup>
          </m:sSup>
        </m:oMath>
      </m:oMathPara>
      <w:r w:rsidRPr="00000000" w:rsidR="00000000" w:rsidDel="00000000">
        <w:rPr>
          <w:sz w:val="24"/>
          <w:rtl w:val="0"/>
        </w:rPr>
        <w:t xml:space="preserve">of the observed gene expression levels between</w:t>
      </w:r>
      <w:r w:rsidRPr="00000000" w:rsidR="00000000" w:rsidDel="00000000">
        <w:rPr>
          <w:sz w:val="24"/>
          <w:rtl w:val="0"/>
        </w:rPr>
        <w:t xml:space="preserve"> the two replicated experiments, which </w:t>
      </w:r>
      <w:r w:rsidRPr="00000000" w:rsidR="00000000" w:rsidDel="00000000">
        <w:rPr>
          <w:sz w:val="24"/>
          <w:rtl w:val="0"/>
        </w:rPr>
        <w:t xml:space="preserve">is</w:t>
      </w:r>
      <w:r w:rsidRPr="00000000" w:rsidR="00000000" w:rsidDel="00000000">
        <w:rPr>
          <w:sz w:val="24"/>
          <w:rtl w:val="0"/>
        </w:rPr>
        <w:t xml:space="preserve"> a benchmark for the maximum performance </w:t>
      </w:r>
      <w:r w:rsidRPr="00000000" w:rsidR="00000000" w:rsidDel="00000000">
        <w:rPr>
          <w:sz w:val="24"/>
          <w:rtl w:val="0"/>
        </w:rPr>
        <w:t xml:space="preserve">expected</w:t>
      </w:r>
      <w:r w:rsidRPr="00000000" w:rsidR="00000000" w:rsidDel="00000000">
        <w:rPr>
          <w:sz w:val="24"/>
          <w:rtl w:val="0"/>
        </w:rPr>
        <w:t xml:space="preserve"> from gene expression prediction models.</w:t>
      </w:r>
    </w:p>
    <w:p w:rsidP="00000000" w:rsidRPr="00000000" w:rsidR="00000000" w:rsidDel="00000000" w:rsidRDefault="00000000">
      <w:pPr>
        <w:contextualSpacing w:val="0"/>
      </w:pPr>
      <w:r w:rsidRPr="00000000" w:rsidR="00000000" w:rsidDel="00000000">
        <w:drawing>
          <wp:inline distR="114300" distT="114300" distB="114300" distL="114300">
            <wp:extent cy="2757488" cx="2757488"/>
            <wp:effectExtent t="0" b="0" r="0" l="0"/>
            <wp:docPr id="2" name="image06.png"/>
            <a:graphic>
              <a:graphicData uri="http://schemas.openxmlformats.org/drawingml/2006/picture">
                <pic:pic>
                  <pic:nvPicPr>
                    <pic:cNvPr id="0" name="image06.png"/>
                    <pic:cNvPicPr preferRelativeResize="0"/>
                  </pic:nvPicPr>
                  <pic:blipFill>
                    <a:blip r:embed="rId8"/>
                    <a:srcRect t="0" b="0" r="0" l="0"/>
                    <a:stretch>
                      <a:fillRect/>
                    </a:stretch>
                  </pic:blipFill>
                  <pic:spPr>
                    <a:xfrm>
                      <a:off y="0" x="0"/>
                      <a:ext cy="2757488" cx="2757488"/>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5943600" cx="5943600"/>
            <wp:effectExtent t="0" b="0" r="0" l="0"/>
            <wp:docPr id="4" name="image09.png"/>
            <a:graphic>
              <a:graphicData uri="http://schemas.openxmlformats.org/drawingml/2006/picture">
                <pic:pic>
                  <pic:nvPicPr>
                    <pic:cNvPr id="0" name="image09.png"/>
                    <pic:cNvPicPr preferRelativeResize="0"/>
                  </pic:nvPicPr>
                  <pic:blipFill>
                    <a:blip r:embed="rId9"/>
                    <a:srcRect t="0" b="0" r="0" l="0"/>
                    <a:stretch>
                      <a:fillRect/>
                    </a:stretch>
                  </pic:blipFill>
                  <pic:spPr>
                    <a:xfrm>
                      <a:off y="0" x="0"/>
                      <a:ext cy="59436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Figure 4. Examples of well-predicted genes.</w:t>
      </w:r>
      <w:r w:rsidRPr="00000000" w:rsidR="00000000" w:rsidDel="00000000">
        <w:rPr>
          <w:sz w:val="24"/>
          <w:rtl w:val="0"/>
        </w:rPr>
        <w:t xml:space="preserve"> These plots show observed vs. predicted levels of 4 genes. Predicted levels were computed using whole blood </w:t>
      </w:r>
      <w:r w:rsidRPr="00000000" w:rsidR="00000000" w:rsidDel="00000000">
        <w:rPr>
          <w:sz w:val="24"/>
          <w:rtl w:val="0"/>
        </w:rPr>
        <w:t xml:space="preserve">elastic net</w:t>
      </w:r>
      <w:r w:rsidRPr="00000000" w:rsidR="00000000" w:rsidDel="00000000">
        <w:rPr>
          <w:sz w:val="24"/>
          <w:rtl w:val="0"/>
        </w:rPr>
        <w:t xml:space="preserve"> prediction models trained in </w:t>
      </w:r>
      <w:r w:rsidRPr="00000000" w:rsidR="00000000" w:rsidDel="00000000">
        <w:rPr>
          <w:sz w:val="24"/>
          <w:rtl w:val="0"/>
        </w:rPr>
        <w:t xml:space="preserve">DGN</w:t>
      </w:r>
      <w:r w:rsidRPr="00000000" w:rsidR="00000000" w:rsidDel="00000000">
        <w:rPr>
          <w:sz w:val="24"/>
          <w:rtl w:val="0"/>
        </w:rPr>
        <w:t xml:space="preserve"> data. Observed levels were RNA-seq data in lymphoblastoid cell lines generated by the GEUVADIS consortium.</w:t>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5943600" cx="5943600"/>
            <wp:effectExtent t="0" b="0" r="0" l="0"/>
            <wp:docPr id="1" name="image05.png" descr="ggpairs_DGN-WB_10-fCV.png"/>
            <a:graphic>
              <a:graphicData uri="http://schemas.openxmlformats.org/drawingml/2006/picture">
                <pic:pic>
                  <pic:nvPicPr>
                    <pic:cNvPr id="0" name="image05.png" descr="ggpairs_DGN-WB_10-fCV.png"/>
                    <pic:cNvPicPr preferRelativeResize="0"/>
                  </pic:nvPicPr>
                  <pic:blipFill>
                    <a:blip r:embed="rId10"/>
                    <a:srcRect t="0" b="0" r="0" l="0"/>
                    <a:stretch>
                      <a:fillRect/>
                    </a:stretch>
                  </pic:blipFill>
                  <pic:spPr>
                    <a:xfrm>
                      <a:off y="0" x="0"/>
                      <a:ext cy="59436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Supplemental Figure X. Comparison of 10-fold cross-validated predictive performance </w:t>
      </w:r>
    </w:p>
    <w:p w:rsidP="00000000" w:rsidRPr="00000000" w:rsidR="00000000" w:rsidDel="00000000" w:rsidRDefault="00000000">
      <w:pPr>
        <w:contextualSpacing w:val="0"/>
      </w:pPr>
      <w:r w:rsidRPr="00000000" w:rsidR="00000000" w:rsidDel="00000000">
        <w:rPr>
          <w:sz w:val="24"/>
          <w:rtl w:val="0"/>
        </w:rPr>
        <w:t xml:space="preserve">between all tested methods (lasso, elastic net with alpha=0.5, polygenic score at several p-value thresholds) in the DGN whole blood cohort. Predictive performance was measured by the R</w:t>
      </w:r>
      <w:r w:rsidRPr="00000000" w:rsidR="00000000" w:rsidDel="00000000">
        <w:rPr>
          <w:sz w:val="24"/>
          <w:vertAlign w:val="superscript"/>
          <w:rtl w:val="0"/>
        </w:rPr>
        <w:t xml:space="preserve">2</w:t>
      </w:r>
      <w:r w:rsidRPr="00000000" w:rsidR="00000000" w:rsidDel="00000000">
        <w:rPr>
          <w:sz w:val="24"/>
          <w:rtl w:val="0"/>
        </w:rPr>
        <w:t xml:space="preserve"> between predicted (GReX) and observed expression.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5943600" cx="5943600"/>
            <wp:effectExtent t="0" b="0" r="0" l="0"/>
            <wp:docPr id="6" name="image11.png"/>
            <a:graphic>
              <a:graphicData uri="http://schemas.openxmlformats.org/drawingml/2006/picture">
                <pic:pic>
                  <pic:nvPicPr>
                    <pic:cNvPr id="0" name="image11.png"/>
                    <pic:cNvPicPr preferRelativeResize="0"/>
                  </pic:nvPicPr>
                  <pic:blipFill>
                    <a:blip r:embed="rId11"/>
                    <a:srcRect t="0" b="0" r="0" l="0"/>
                    <a:stretch>
                      <a:fillRect/>
                    </a:stretch>
                  </pic:blipFill>
                  <pic:spPr>
                    <a:xfrm>
                      <a:off y="0" x="0"/>
                      <a:ext cy="59436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Supplemental Figure X. Prediction performance of elastic net in GTEx tissues.</w:t>
      </w:r>
      <w:r w:rsidRPr="00000000" w:rsidR="00000000" w:rsidDel="00000000">
        <w:rPr>
          <w:sz w:val="24"/>
          <w:rtl w:val="0"/>
        </w:rPr>
        <w:t xml:space="preserve"> Using whole blood prediction models trained in DGN, we compared predicted levels of expression with observed levels from nine tissues of the GTEx pilot project. The observed squared correlation between predicted and observed gene expression levels, </w:t>
      </w:r>
      <m:oMathPara>
        <m:oMathParaPr>
          <m:jc m:val="left"/>
        </m:oMathParaPr>
        <m:oMath>
          <m:sSup>
            <m:sSupPr>
              <m:ctrlPr>
                <w:rPr>
                  <w:sz w:val="24"/>
                </w:rPr>
              </m:ctrlPr>
            </m:sSupPr>
            <m:e>
              <m:r>
                <w:rPr>
                  <w:sz w:val="24"/>
                </w:rPr>
                <m:t xml:space="preserve">R</m:t>
              </m:r>
            </m:e>
            <m:sup>
              <m:r>
                <w:rPr>
                  <w:sz w:val="24"/>
                </w:rPr>
                <m:t xml:space="preserve">2</m:t>
              </m:r>
            </m:sup>
          </m:sSup>
        </m:oMath>
      </m:oMathPara>
      <w:r w:rsidRPr="00000000" w:rsidR="00000000" w:rsidDel="00000000">
        <w:rPr>
          <w:sz w:val="24"/>
          <w:rtl w:val="0"/>
        </w:rPr>
        <w:t xml:space="preserve">, is plotted against the null distribution of </w:t>
      </w:r>
      <m:oMathPara>
        <m:oMathParaPr>
          <m:jc m:val="left"/>
        </m:oMathParaPr>
        <m:oMath>
          <m:sSup>
            <m:sSupPr>
              <m:ctrlPr>
                <w:rPr>
                  <w:sz w:val="24"/>
                </w:rPr>
              </m:ctrlPr>
            </m:sSupPr>
            <m:e>
              <m:r>
                <w:rPr>
                  <w:sz w:val="24"/>
                </w:rPr>
                <m:t xml:space="preserve">R</m:t>
              </m:r>
            </m:e>
            <m:sup>
              <m:r>
                <w:rPr>
                  <w:sz w:val="24"/>
                </w:rPr>
                <m:t xml:space="preserve">2</m:t>
              </m:r>
            </m:sup>
          </m:sSup>
        </m:oMath>
      </m:oMathPara>
      <w:r w:rsidRPr="00000000" w:rsidR="00000000" w:rsidDel="00000000">
        <w:rPr>
          <w:sz w:val="24"/>
          <w:rtl w:val="0"/>
        </w:rPr>
        <w:t xml:space="preserve">. </w:t>
      </w:r>
    </w:p>
    <w:sectPr>
      <w:pgSz w:w="12240" w:h="15840"/>
      <w:pgMar w:left="1440" w:right="1440" w:top="1440" w:bottom="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0" w:date="2015-03-12T21:33:27Z" w:author="Hae Kyung Im">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figure on the right seems much lower than before? We predict better than we can replicate for some genes?</w:t>
      </w:r>
    </w:p>
  </w:comment>
  <w:comment w:id="1" w:date="2015-03-11T19:48:33Z" w:author="Heather Wheele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think the expected for the right panel was calculated with the wrong n in the previous submission. I'm not sure how useful this is since the sample sizes are 10X different.</w:t>
      </w:r>
    </w:p>
  </w:comment>
  <w:comment w:id="2" w:date="2015-03-11T20:04:12Z" w:author="Hae Kyung Im">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see. I got that wrong last time. How about plotting the two Observed R2?</w:t>
      </w:r>
    </w:p>
  </w:comment>
  <w:comment w:id="3" w:date="2015-03-11T20:30:09Z" w:author="Hae Kyung Im">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Also Observed R2 could be misleading for the right hand side plot...</w:t>
      </w:r>
    </w:p>
  </w:comment>
  <w:comment w:id="4" w:date="2015-03-12T21:26:34Z" w:author="Heather Wheele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I'm thinking we might want to drop this and go with the comparison to h2, I think it will just confuse things, what do you think?</w:t>
      </w:r>
    </w:p>
  </w:comment>
  <w:comment w:id="5" w:date="2015-03-12T21:33:27Z" w:author="Hae Kyung Im">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Yes, I agree.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media/image05.png" Type="http://schemas.openxmlformats.org/officeDocument/2006/relationships/image" Id="rId10"/><Relationship Target="numbering.xml" Type="http://schemas.openxmlformats.org/officeDocument/2006/relationships/numbering" Id="rId4"/><Relationship Target="media/image11.png" Type="http://schemas.openxmlformats.org/officeDocument/2006/relationships/image" Id="rId11"/><Relationship Target="fontTable.xml" Type="http://schemas.openxmlformats.org/officeDocument/2006/relationships/fontTable" Id="rId3"/><Relationship Target="media/image09.png" Type="http://schemas.openxmlformats.org/officeDocument/2006/relationships/image" Id="rId9"/><Relationship Target="media/image10.png" Type="http://schemas.openxmlformats.org/officeDocument/2006/relationships/image" Id="rId6"/><Relationship Target="styles.xml" Type="http://schemas.openxmlformats.org/officeDocument/2006/relationships/styles" Id="rId5"/><Relationship Target="media/image06.png" Type="http://schemas.openxmlformats.org/officeDocument/2006/relationships/image" Id="rId8"/><Relationship Target="media/image07.png" Type="http://schemas.openxmlformats.org/officeDocument/2006/relationships/image" Id="rId7"/></Relationships>
</file>