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A68" w14:textId="1C43D3AF" w:rsidR="00C5627F" w:rsidRDefault="003070A7" w:rsidP="00C5627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PWM Output</w:t>
      </w:r>
    </w:p>
    <w:p w14:paraId="373F17F6" w14:textId="1175D86F" w:rsidR="00C5627F" w:rsidRDefault="00415958" w:rsidP="00C5627F">
      <w:pPr>
        <w:jc w:val="center"/>
        <w:rPr>
          <w:color w:val="4472C4" w:themeColor="accent1"/>
          <w:sz w:val="96"/>
          <w:szCs w:val="96"/>
        </w:rPr>
      </w:pPr>
      <w:r>
        <w:rPr>
          <w:noProof/>
          <w:color w:val="4472C4" w:themeColor="accent1"/>
          <w:sz w:val="96"/>
          <w:szCs w:val="96"/>
        </w:rPr>
        <w:drawing>
          <wp:inline distT="0" distB="0" distL="0" distR="0" wp14:anchorId="0BEDC223" wp14:editId="488E2D8A">
            <wp:extent cx="55911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77777777" w:rsidR="00C5627F" w:rsidRDefault="00C5627F" w:rsidP="00C5627F">
      <w:pPr>
        <w:jc w:val="center"/>
        <w:rPr>
          <w:color w:val="4472C4" w:themeColor="accent1"/>
          <w:sz w:val="56"/>
          <w:szCs w:val="56"/>
        </w:rPr>
      </w:pPr>
      <w:r w:rsidRPr="001B636E">
        <w:rPr>
          <w:color w:val="4472C4" w:themeColor="accent1"/>
          <w:sz w:val="56"/>
          <w:szCs w:val="56"/>
        </w:rPr>
        <w:t>Semester 3 Embedded Systems</w:t>
      </w:r>
    </w:p>
    <w:p w14:paraId="79A47A80" w14:textId="522175C0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Lab_0</w:t>
      </w:r>
      <w:r w:rsidR="003070A7">
        <w:rPr>
          <w:color w:val="4472C4" w:themeColor="accent1"/>
          <w:sz w:val="28"/>
          <w:szCs w:val="28"/>
        </w:rPr>
        <w:t>4</w:t>
      </w:r>
      <w:r>
        <w:rPr>
          <w:color w:val="4472C4" w:themeColor="accent1"/>
          <w:sz w:val="28"/>
          <w:szCs w:val="28"/>
        </w:rPr>
        <w:t>_</w:t>
      </w:r>
      <w:r w:rsidR="003070A7">
        <w:rPr>
          <w:color w:val="4472C4" w:themeColor="accent1"/>
          <w:sz w:val="28"/>
          <w:szCs w:val="28"/>
        </w:rPr>
        <w:t>PWM_Output</w:t>
      </w:r>
    </w:p>
    <w:p w14:paraId="35FC8AF8" w14:textId="102878FF" w:rsidR="00C5627F" w:rsidRDefault="003070A7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Oct</w:t>
      </w:r>
      <w:r w:rsidR="00C5627F" w:rsidRPr="001B636E"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>8</w:t>
      </w:r>
      <w:r w:rsidR="00C5627F" w:rsidRPr="001B636E">
        <w:rPr>
          <w:color w:val="4472C4" w:themeColor="accent1"/>
          <w:sz w:val="28"/>
          <w:szCs w:val="28"/>
        </w:rPr>
        <w:t>, 2022.</w:t>
      </w:r>
    </w:p>
    <w:p w14:paraId="33B519D4" w14:textId="2DE5DDD8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667C716C" w14:textId="77777777" w:rsidR="00415958" w:rsidRDefault="00415958" w:rsidP="00C5627F">
      <w:pPr>
        <w:rPr>
          <w:color w:val="4472C4" w:themeColor="accent1"/>
          <w:sz w:val="28"/>
          <w:szCs w:val="28"/>
        </w:rPr>
      </w:pPr>
    </w:p>
    <w:p w14:paraId="45ACAEFC" w14:textId="77777777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0CC1D2A4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Student: Andre Sanao</w:t>
      </w:r>
    </w:p>
    <w:p w14:paraId="02BA8FEF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Course: Technology</w:t>
      </w:r>
    </w:p>
    <w:p w14:paraId="7462FA10" w14:textId="37657A5A" w:rsidR="00C5627F" w:rsidRDefault="00C5627F">
      <w:r>
        <w:br w:type="page"/>
      </w:r>
    </w:p>
    <w:p w14:paraId="4B13B293" w14:textId="515574BA" w:rsidR="00CF68CE" w:rsidRDefault="00C5627F" w:rsidP="00C5627F">
      <w:pPr>
        <w:pStyle w:val="Heading1"/>
      </w:pPr>
      <w:r>
        <w:lastRenderedPageBreak/>
        <w:t>Introduction</w:t>
      </w:r>
    </w:p>
    <w:p w14:paraId="566BD40B" w14:textId="17490D66" w:rsidR="00C5627F" w:rsidRDefault="00C5627F" w:rsidP="00D236FA">
      <w:r>
        <w:t xml:space="preserve">The purpose of this assignment is to </w:t>
      </w:r>
      <w:r w:rsidR="004F15D3">
        <w:t>setup a Timer to be able to use the Pulse Width Modulation</w:t>
      </w:r>
      <w:r w:rsidR="00E375E6">
        <w:t xml:space="preserve"> (PWM) feature. With this feature, </w:t>
      </w:r>
      <w:r w:rsidR="007E3E16">
        <w:t xml:space="preserve">PWM signals can be produced to make </w:t>
      </w:r>
      <w:r w:rsidR="00325633">
        <w:t xml:space="preserve">more accurate values. The learning outcome of this assignment is to </w:t>
      </w:r>
      <w:r w:rsidR="00907E31">
        <w:t>know how to count and measure output signal frequency</w:t>
      </w:r>
      <w:r w:rsidR="00875B08">
        <w:t xml:space="preserve"> and </w:t>
      </w:r>
      <w:r w:rsidR="0012696D">
        <w:t xml:space="preserve">use </w:t>
      </w:r>
      <w:r w:rsidR="001036AB">
        <w:t>these signals</w:t>
      </w:r>
      <w:r w:rsidR="0012696D">
        <w:t xml:space="preserve"> to output on external devices</w:t>
      </w:r>
      <w:r w:rsidR="009A3395">
        <w:t>.</w:t>
      </w:r>
    </w:p>
    <w:p w14:paraId="1FF23CE9" w14:textId="6893B65A" w:rsidR="001D2E01" w:rsidRDefault="001D2E01" w:rsidP="001D2E01">
      <w:pPr>
        <w:pStyle w:val="Heading1"/>
      </w:pPr>
      <w:r>
        <w:t>Research</w:t>
      </w:r>
    </w:p>
    <w:p w14:paraId="1AA73D6A" w14:textId="77777777" w:rsidR="00D235F5" w:rsidRDefault="009A3395" w:rsidP="009A3395">
      <w:r>
        <w:t>In this section</w:t>
      </w:r>
      <w:r w:rsidR="009346A7">
        <w:t xml:space="preserve"> is about how the </w:t>
      </w:r>
      <w:r w:rsidR="00503496">
        <w:t>timer</w:t>
      </w:r>
      <w:r w:rsidR="00BD1F28">
        <w:t xml:space="preserve"> </w:t>
      </w:r>
      <w:r w:rsidR="00503496">
        <w:t>of the STM32</w:t>
      </w:r>
      <w:r w:rsidR="00F60983">
        <w:t xml:space="preserve"> was</w:t>
      </w:r>
      <w:r w:rsidR="00BD1F28">
        <w:t xml:space="preserve"> researched and</w:t>
      </w:r>
      <w:r w:rsidR="00F60983">
        <w:t xml:space="preserve"> implement</w:t>
      </w:r>
      <w:r w:rsidR="00DF2A10">
        <w:t xml:space="preserve">. </w:t>
      </w:r>
      <w:r w:rsidR="005E6B5E">
        <w:t>In the previous lecture</w:t>
      </w:r>
      <w:r w:rsidR="005F44B7">
        <w:t>, Interrupts were triggered by external sources such as button</w:t>
      </w:r>
      <w:r w:rsidR="004267CC">
        <w:t xml:space="preserve"> presses.</w:t>
      </w:r>
      <w:r w:rsidR="00F00E34">
        <w:t xml:space="preserve"> The interrupt enters a handler where it sets and resets the flag. </w:t>
      </w:r>
    </w:p>
    <w:p w14:paraId="0A8F45ED" w14:textId="61CA9AC3" w:rsidR="006210C8" w:rsidRDefault="006210C8" w:rsidP="009A3395">
      <w:r>
        <w:t>A timer is a special piece of hardware that is located inside the microcontroller.</w:t>
      </w:r>
      <w:r w:rsidR="00E7690F">
        <w:t xml:space="preserve"> Timers </w:t>
      </w:r>
      <w:proofErr w:type="gramStart"/>
      <w:r w:rsidR="004B743E">
        <w:t>count up</w:t>
      </w:r>
      <w:proofErr w:type="gramEnd"/>
      <w:r w:rsidR="004B743E">
        <w:t xml:space="preserve"> or down depending on the configuration</w:t>
      </w:r>
      <w:r w:rsidR="000D7001">
        <w:t>. For example a</w:t>
      </w:r>
      <w:r w:rsidR="00BA3D70">
        <w:t xml:space="preserve"> timer that count to 10 and once it reaches 10, it will roll back to 0 </w:t>
      </w:r>
      <w:r w:rsidR="00F36028">
        <w:t>and counts again. Same with the count down where it</w:t>
      </w:r>
      <w:r w:rsidR="007245C2">
        <w:t xml:space="preserve"> starts from 10 and rolls back from 0. </w:t>
      </w:r>
      <w:r w:rsidR="00592075">
        <w:t>The way they function can vary from the settings that is applied</w:t>
      </w:r>
      <w:r w:rsidR="00255FB0">
        <w:t xml:space="preserve"> inside the microcontroller. For example the timers roll back from 5 instead of the max</w:t>
      </w:r>
      <w:r w:rsidR="00065813">
        <w:t xml:space="preserve">imum of 10. </w:t>
      </w:r>
      <w:r w:rsidR="00CE60BC">
        <w:t>A</w:t>
      </w:r>
      <w:r w:rsidR="00065813">
        <w:t>dd</w:t>
      </w:r>
      <w:r w:rsidR="00CE60BC">
        <w:t xml:space="preserve">itionally, </w:t>
      </w:r>
      <w:r w:rsidR="0043658F">
        <w:t>it is possible to connect other hardware inside the microcontroller</w:t>
      </w:r>
      <w:r w:rsidR="00EE2043">
        <w:t xml:space="preserve"> to the timer, like toggling a PWM pin automatically </w:t>
      </w:r>
      <w:r w:rsidR="00C14897">
        <w:t>when the timer rolls over.</w:t>
      </w:r>
    </w:p>
    <w:p w14:paraId="05C792A9" w14:textId="5FBB47F2" w:rsidR="009A3395" w:rsidRDefault="00C14897" w:rsidP="009A3395">
      <w:r>
        <w:t>These are</w:t>
      </w:r>
      <w:r w:rsidR="004D151D">
        <w:t xml:space="preserve"> some of the</w:t>
      </w:r>
      <w:r>
        <w:t xml:space="preserve"> common functions that </w:t>
      </w:r>
      <w:r w:rsidR="004D151D">
        <w:t>is available in the timer</w:t>
      </w:r>
      <w:r w:rsidR="00E47173">
        <w:t>:</w:t>
      </w:r>
    </w:p>
    <w:p w14:paraId="2EC3F112" w14:textId="38F781CA" w:rsidR="00E47173" w:rsidRDefault="00B824DF" w:rsidP="00B824DF">
      <w:pPr>
        <w:pStyle w:val="ListParagraph"/>
        <w:numPr>
          <w:ilvl w:val="0"/>
          <w:numId w:val="2"/>
        </w:numPr>
      </w:pPr>
      <w:r>
        <w:t>Capture compare</w:t>
      </w:r>
      <w:r w:rsidR="007963D6">
        <w:t xml:space="preserve"> register (CCR): toggle the pin when it reaches </w:t>
      </w:r>
      <w:r w:rsidR="00224137">
        <w:t>a certain value.</w:t>
      </w:r>
    </w:p>
    <w:p w14:paraId="000D5A16" w14:textId="24CCAB08" w:rsidR="00D46949" w:rsidRDefault="00224137" w:rsidP="00D46949">
      <w:pPr>
        <w:pStyle w:val="ListParagraph"/>
        <w:numPr>
          <w:ilvl w:val="0"/>
          <w:numId w:val="2"/>
        </w:numPr>
      </w:pPr>
      <w:r>
        <w:t xml:space="preserve">Pulse Width Modulation (PWM): </w:t>
      </w:r>
      <w:r w:rsidR="00905B37">
        <w:t>toggle a pin when the timer reaches a certain value and on roll</w:t>
      </w:r>
      <w:r w:rsidR="000151E8">
        <w:t xml:space="preserve"> back</w:t>
      </w:r>
      <w:r w:rsidR="00905B37">
        <w:t>. Adjusting the on and off time (Duty Cycle)</w:t>
      </w:r>
      <w:r w:rsidR="0079300A">
        <w:t xml:space="preserve"> can effectively control the amount of current </w:t>
      </w:r>
      <w:r w:rsidR="00D46949">
        <w:t>that is going inside the external hardware.</w:t>
      </w:r>
    </w:p>
    <w:p w14:paraId="5ACA1D82" w14:textId="01031558" w:rsidR="00DE3BBC" w:rsidRDefault="00DE3BBC" w:rsidP="00D46949">
      <w:pPr>
        <w:pStyle w:val="ListParagraph"/>
        <w:numPr>
          <w:ilvl w:val="0"/>
          <w:numId w:val="2"/>
        </w:numPr>
      </w:pPr>
      <w:proofErr w:type="spellStart"/>
      <w:r>
        <w:t>Prescaler</w:t>
      </w:r>
      <w:proofErr w:type="spellEnd"/>
      <w:r>
        <w:t xml:space="preserve"> (PSC): </w:t>
      </w:r>
      <w:r w:rsidR="003B3F62">
        <w:t xml:space="preserve">all timers require some sort of clock and this clock can </w:t>
      </w:r>
      <w:r w:rsidR="00B01CA1">
        <w:t>alternate the speed of the timer</w:t>
      </w:r>
      <w:r w:rsidR="00571C71">
        <w:t>.</w:t>
      </w:r>
    </w:p>
    <w:p w14:paraId="6E56765B" w14:textId="3C118938" w:rsidR="000D3F02" w:rsidRDefault="000D3F02" w:rsidP="00D46949">
      <w:pPr>
        <w:pStyle w:val="ListParagraph"/>
        <w:numPr>
          <w:ilvl w:val="0"/>
          <w:numId w:val="2"/>
        </w:numPr>
      </w:pPr>
      <w:r>
        <w:t xml:space="preserve">Auto reload register (ARR): </w:t>
      </w:r>
      <w:r w:rsidR="006568BC">
        <w:t xml:space="preserve"> this register resets the period </w:t>
      </w:r>
      <w:r w:rsidR="00D1196F">
        <w:t xml:space="preserve">when it reaches the maximum value or </w:t>
      </w:r>
      <w:r w:rsidR="00130F8A">
        <w:t>whenever the period reaches the value that is set on the CCR</w:t>
      </w:r>
      <w:r w:rsidR="00D1196F">
        <w:t>.</w:t>
      </w:r>
    </w:p>
    <w:p w14:paraId="67321CE0" w14:textId="77777777" w:rsidR="00A358FC" w:rsidRDefault="00A358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EC2ABC" w14:textId="563916F2" w:rsidR="00D8179B" w:rsidRDefault="00D8179B" w:rsidP="00D8179B">
      <w:pPr>
        <w:pStyle w:val="Heading1"/>
      </w:pPr>
      <w:r>
        <w:lastRenderedPageBreak/>
        <w:t>Design</w:t>
      </w:r>
    </w:p>
    <w:p w14:paraId="70AFC9FD" w14:textId="7A20504E" w:rsidR="00A358FC" w:rsidRDefault="002C4BE4" w:rsidP="00A358FC">
      <w:pPr>
        <w:keepNext/>
      </w:pPr>
      <w:r w:rsidRPr="002C4BE4">
        <w:drawing>
          <wp:inline distT="0" distB="0" distL="0" distR="0" wp14:anchorId="44B5B5AC" wp14:editId="4F3A1D6B">
            <wp:extent cx="5943600" cy="145415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680" w14:textId="14BDCB07" w:rsidR="00A358FC" w:rsidRDefault="00A358FC" w:rsidP="00A358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Timer Example</w:t>
      </w:r>
    </w:p>
    <w:p w14:paraId="00AB2A3F" w14:textId="2E210F16" w:rsidR="0079518E" w:rsidRDefault="00070E83">
      <w:r>
        <w:t xml:space="preserve">In figure 1 is an example on how the timer </w:t>
      </w:r>
      <w:r w:rsidR="00EE3C98">
        <w:t>frequency</w:t>
      </w:r>
      <w:r>
        <w:t xml:space="preserve"> is calculated. </w:t>
      </w:r>
      <w:r w:rsidR="0098564E">
        <w:t xml:space="preserve">With the formula </w:t>
      </w:r>
      <m:oMath>
        <m:r>
          <w:rPr>
            <w:rFonts w:ascii="Cambria Math" w:hAnsi="Cambria Math"/>
          </w:rPr>
          <m:t>Ftimer=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Fclk</m:t>
                </m:r>
              </m:num>
              <m:den>
                <m:r>
                  <w:rPr>
                    <w:rFonts w:ascii="Cambria Math" w:hAnsi="Cambria Math"/>
                  </w:rPr>
                  <m:t>PSC</m:t>
                </m:r>
              </m:den>
            </m:f>
          </m:num>
          <m:den>
            <m:r>
              <w:rPr>
                <w:rFonts w:ascii="Cambria Math" w:hAnsi="Cambria Math"/>
              </w:rPr>
              <m:t>ARR</m:t>
            </m:r>
          </m:den>
        </m:f>
      </m:oMath>
      <w:r w:rsidR="005A54D5">
        <w:rPr>
          <w:rFonts w:eastAsiaTheme="minorEastAsia"/>
        </w:rPr>
        <w:t>, the timer period can be configured</w:t>
      </w:r>
      <w:r w:rsidR="00D92AB5">
        <w:rPr>
          <w:rFonts w:eastAsiaTheme="minorEastAsia"/>
        </w:rPr>
        <w:t xml:space="preserve">. </w:t>
      </w:r>
      <w:r w:rsidR="00A72EB0">
        <w:rPr>
          <w:rFonts w:eastAsiaTheme="minorEastAsia"/>
        </w:rPr>
        <w:t xml:space="preserve">For example </w:t>
      </w:r>
      <w:r w:rsidR="006B1844">
        <w:rPr>
          <w:rFonts w:eastAsiaTheme="minorEastAsia"/>
        </w:rPr>
        <w:t xml:space="preserve">to configure an LED with a brightness of </w:t>
      </w:r>
      <w:r w:rsidR="009E6B15">
        <w:rPr>
          <w:rFonts w:eastAsiaTheme="minorEastAsia"/>
        </w:rPr>
        <w:t>50%</w:t>
      </w:r>
      <w:r w:rsidR="00734D3D">
        <w:rPr>
          <w:rFonts w:eastAsiaTheme="minorEastAsia"/>
        </w:rPr>
        <w:t xml:space="preserve">, the LED PWM duty cycle needs to be HIGH </w:t>
      </w:r>
      <w:r w:rsidR="00DB0BA8">
        <w:rPr>
          <w:rFonts w:eastAsiaTheme="minorEastAsia"/>
        </w:rPr>
        <w:t>50% of the period</w:t>
      </w:r>
      <w:r w:rsidR="00EF6E07">
        <w:rPr>
          <w:rFonts w:eastAsiaTheme="minorEastAsia"/>
        </w:rPr>
        <w:t xml:space="preserve">. </w:t>
      </w:r>
      <w:r w:rsidR="008C2A13">
        <w:rPr>
          <w:rFonts w:eastAsiaTheme="minorEastAsia"/>
        </w:rPr>
        <w:t>The CCR value need to be half of the maximum value of the ARR</w:t>
      </w:r>
      <w:r w:rsidR="00F82281">
        <w:rPr>
          <w:rFonts w:eastAsiaTheme="minorEastAsia"/>
        </w:rPr>
        <w:t xml:space="preserve"> to achieve a 50% on time.</w:t>
      </w:r>
    </w:p>
    <w:p w14:paraId="7670A91E" w14:textId="454C85A6" w:rsidR="0079518E" w:rsidRDefault="0079518E" w:rsidP="0079518E">
      <w:pPr>
        <w:pStyle w:val="Heading1"/>
      </w:pPr>
      <w:r>
        <w:t>Testing</w:t>
      </w:r>
    </w:p>
    <w:p w14:paraId="23B01629" w14:textId="0267DF0A" w:rsidR="004E2093" w:rsidRDefault="004E2093" w:rsidP="004E2093">
      <w:pPr>
        <w:rPr>
          <w:rFonts w:eastAsiaTheme="minorEastAsia"/>
          <w:sz w:val="24"/>
          <w:szCs w:val="24"/>
        </w:rPr>
      </w:pPr>
      <w:r>
        <w:t>In the Testing</w:t>
      </w:r>
      <w:r w:rsidR="00BA56A5">
        <w:t xml:space="preserve"> section, assignment </w:t>
      </w:r>
      <w:r w:rsidR="00214B40">
        <w:t>was</w:t>
      </w:r>
      <w:r w:rsidR="00BA56A5">
        <w:t xml:space="preserve"> giving to configure external </w:t>
      </w:r>
      <w:r w:rsidR="000D3195">
        <w:t>hardware’s such as an LED and servo motor (SG90).</w:t>
      </w:r>
      <w:r w:rsidR="00CC63E5">
        <w:t xml:space="preserve"> TIM2 which is 32 bi</w:t>
      </w:r>
      <w:r w:rsidR="000904C7">
        <w:t>t and a clock frequency of 72Mhz</w:t>
      </w:r>
      <w:r w:rsidR="00CC63E5">
        <w:t xml:space="preserve"> was used for the demo of the assignment</w:t>
      </w:r>
      <w:r w:rsidR="000904C7">
        <w:t xml:space="preserve">. </w:t>
      </w:r>
      <w:r w:rsidR="00214B40">
        <w:t>For the first part of the test it to make an LED</w:t>
      </w:r>
      <w:r w:rsidR="005C03A5">
        <w:t xml:space="preserve"> brightness to 75%</w:t>
      </w:r>
      <w:r w:rsidR="00300BEF">
        <w:t>. The formula to calculate the CCR</w:t>
      </w:r>
      <w:r w:rsidR="00CC63E5">
        <w:t>2</w:t>
      </w:r>
      <w:r w:rsidR="00D2384A">
        <w:t xml:space="preserve"> is</w:t>
      </w:r>
      <w:r w:rsidR="00D2384A" w:rsidRPr="00D2384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CCR=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Duty Cycle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ARR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0.75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1000-1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750</m:t>
        </m:r>
      </m:oMath>
      <w:r w:rsidR="00163A48">
        <w:rPr>
          <w:rFonts w:eastAsiaTheme="minorEastAsia"/>
          <w:sz w:val="24"/>
          <w:szCs w:val="24"/>
        </w:rPr>
        <w:t>.</w:t>
      </w:r>
    </w:p>
    <w:p w14:paraId="65E43F06" w14:textId="7D6E8EC1" w:rsidR="00163A48" w:rsidRPr="00BE655B" w:rsidRDefault="00163A48" w:rsidP="004E2093">
      <w:r>
        <w:rPr>
          <w:rFonts w:eastAsiaTheme="minorEastAsia"/>
        </w:rPr>
        <w:t xml:space="preserve">The second part of the assignment is to make the led pulse </w:t>
      </w:r>
      <w:r w:rsidR="00D83C91">
        <w:rPr>
          <w:rFonts w:eastAsiaTheme="minorEastAsia"/>
        </w:rPr>
        <w:t xml:space="preserve">between 20% and 100%. This is </w:t>
      </w:r>
      <w:r w:rsidR="007F6EB7">
        <w:rPr>
          <w:rFonts w:eastAsiaTheme="minorEastAsia"/>
        </w:rPr>
        <w:t>achieved</w:t>
      </w:r>
      <w:r w:rsidR="00D83C91">
        <w:rPr>
          <w:rFonts w:eastAsiaTheme="minorEastAsia"/>
        </w:rPr>
        <w:t xml:space="preserve"> with </w:t>
      </w:r>
      <w:r w:rsidR="00C948CD">
        <w:rPr>
          <w:rFonts w:eastAsiaTheme="minorEastAsia"/>
        </w:rPr>
        <w:t>the CCR2 value incrementing</w:t>
      </w:r>
      <w:r w:rsidR="007F6EB7">
        <w:rPr>
          <w:rFonts w:eastAsiaTheme="minorEastAsia"/>
        </w:rPr>
        <w:t>/decrementing between 200 and 1000.</w:t>
      </w:r>
      <w:r w:rsidR="00B776E0">
        <w:rPr>
          <w:rFonts w:eastAsiaTheme="minorEastAsia"/>
        </w:rPr>
        <w:t xml:space="preserve"> </w:t>
      </w:r>
      <w:r w:rsidR="00BE655B">
        <w:rPr>
          <w:rFonts w:eastAsiaTheme="minorEastAsia"/>
        </w:rPr>
        <w:t xml:space="preserve">Additionally, </w:t>
      </w:r>
      <w:r w:rsidR="00BE655B" w:rsidRPr="00BE655B">
        <w:rPr>
          <w:rFonts w:eastAsiaTheme="minorEastAsia"/>
        </w:rPr>
        <w:t>Center-aligned mode 1</w:t>
      </w:r>
      <w:r w:rsidR="00BE655B">
        <w:rPr>
          <w:rFonts w:eastAsiaTheme="minorEastAsia"/>
        </w:rPr>
        <w:t xml:space="preserve"> was set</w:t>
      </w:r>
      <w:r w:rsidR="00F77F0C">
        <w:rPr>
          <w:rFonts w:eastAsiaTheme="minorEastAsia"/>
        </w:rPr>
        <w:t xml:space="preserve"> so that t</w:t>
      </w:r>
      <w:r w:rsidR="00BE655B" w:rsidRPr="00BE655B">
        <w:rPr>
          <w:rFonts w:eastAsiaTheme="minorEastAsia"/>
        </w:rPr>
        <w:t xml:space="preserve">he counter </w:t>
      </w:r>
      <w:proofErr w:type="gramStart"/>
      <w:r w:rsidR="00BE655B" w:rsidRPr="00BE655B">
        <w:rPr>
          <w:rFonts w:eastAsiaTheme="minorEastAsia"/>
        </w:rPr>
        <w:t>counts up</w:t>
      </w:r>
      <w:proofErr w:type="gramEnd"/>
      <w:r w:rsidR="00BE655B" w:rsidRPr="00BE655B">
        <w:rPr>
          <w:rFonts w:eastAsiaTheme="minorEastAsia"/>
        </w:rPr>
        <w:t xml:space="preserve"> and down alternatively.</w:t>
      </w:r>
    </w:p>
    <w:p w14:paraId="198A54CE" w14:textId="0E95EF78" w:rsidR="007F6EB7" w:rsidRDefault="007F6EB7" w:rsidP="004E2093">
      <w:pPr>
        <w:rPr>
          <w:rFonts w:eastAsiaTheme="minorEastAsia"/>
        </w:rPr>
      </w:pPr>
      <w:r>
        <w:t xml:space="preserve">The last part is to make a servo </w:t>
      </w:r>
      <w:r w:rsidR="008C6B96">
        <w:t xml:space="preserve">rotation pattern of </w:t>
      </w:r>
      <w:r w:rsidR="00607A4F">
        <w:t>0</w:t>
      </w:r>
      <m:oMath>
        <m:r>
          <w:rPr>
            <w:rFonts w:ascii="Cambria Math" w:hAnsi="Cambria Math"/>
          </w:rPr>
          <m:t>°</m:t>
        </m:r>
      </m:oMath>
      <w:r w:rsidR="00607A4F">
        <w:rPr>
          <w:rFonts w:eastAsiaTheme="minorEastAsia"/>
        </w:rPr>
        <w:t xml:space="preserve"> wait 1 sec, move to </w:t>
      </w:r>
      <w:r w:rsidR="00607A4F">
        <w:t>90</w:t>
      </w:r>
      <m:oMath>
        <m:r>
          <w:rPr>
            <w:rFonts w:ascii="Cambria Math" w:hAnsi="Cambria Math"/>
          </w:rPr>
          <m:t>°</m:t>
        </m:r>
      </m:oMath>
      <w:r w:rsidR="00275B0F">
        <w:rPr>
          <w:rFonts w:eastAsiaTheme="minorEastAsia"/>
        </w:rPr>
        <w:t>, wait 1 sec, move to -9</w:t>
      </w:r>
      <w:r w:rsidR="00275B0F">
        <w:t>0</w:t>
      </w:r>
      <m:oMath>
        <m:r>
          <w:rPr>
            <w:rFonts w:ascii="Cambria Math" w:hAnsi="Cambria Math"/>
          </w:rPr>
          <m:t>°</m:t>
        </m:r>
      </m:oMath>
      <w:r w:rsidR="00435A41">
        <w:rPr>
          <w:rFonts w:eastAsiaTheme="minorEastAsia"/>
        </w:rPr>
        <w:t xml:space="preserve">, wait 1 sec and then move to </w:t>
      </w:r>
      <w:r w:rsidR="00435A41">
        <w:t>0</w:t>
      </w:r>
      <m:oMath>
        <m:r>
          <w:rPr>
            <w:rFonts w:ascii="Cambria Math" w:hAnsi="Cambria Math"/>
          </w:rPr>
          <m:t>°</m:t>
        </m:r>
      </m:oMath>
      <w:r w:rsidR="00390C8D">
        <w:rPr>
          <w:rFonts w:eastAsiaTheme="minorEastAsia"/>
        </w:rPr>
        <w:t xml:space="preserve">. The servo data sheet was used to </w:t>
      </w:r>
      <w:r w:rsidR="00D5728C">
        <w:rPr>
          <w:rFonts w:eastAsiaTheme="minorEastAsia"/>
        </w:rPr>
        <w:t>get the</w:t>
      </w:r>
      <w:r w:rsidR="00F22B33">
        <w:rPr>
          <w:rFonts w:eastAsiaTheme="minorEastAsia"/>
        </w:rPr>
        <w:t xml:space="preserve"> information of the</w:t>
      </w:r>
      <w:r w:rsidR="00C46F6D">
        <w:rPr>
          <w:rFonts w:eastAsiaTheme="minorEastAsia"/>
        </w:rPr>
        <w:t xml:space="preserve"> PWM positions.</w:t>
      </w:r>
    </w:p>
    <w:p w14:paraId="29108E82" w14:textId="7CBE4594" w:rsidR="00C46F6D" w:rsidRPr="00163A48" w:rsidRDefault="00C46F6D" w:rsidP="004E2093">
      <w:r>
        <w:rPr>
          <w:rFonts w:eastAsiaTheme="minorEastAsia"/>
        </w:rPr>
        <w:t xml:space="preserve">All 3 tests </w:t>
      </w:r>
      <w:r w:rsidR="00F77F0C">
        <w:rPr>
          <w:rFonts w:eastAsiaTheme="minorEastAsia"/>
        </w:rPr>
        <w:t>have</w:t>
      </w:r>
      <w:r>
        <w:rPr>
          <w:rFonts w:eastAsiaTheme="minorEastAsia"/>
        </w:rPr>
        <w:t xml:space="preserve"> a visual demonstration </w:t>
      </w:r>
      <w:r w:rsidR="00B0757A">
        <w:rPr>
          <w:rFonts w:eastAsiaTheme="minorEastAsia"/>
        </w:rPr>
        <w:t>file that comes with this report.</w:t>
      </w:r>
    </w:p>
    <w:p w14:paraId="2EF5FAE6" w14:textId="77777777" w:rsidR="00F24A00" w:rsidRDefault="00F24A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753565" w14:textId="1A61A4A5" w:rsidR="002116EB" w:rsidRDefault="002116EB" w:rsidP="002116EB">
      <w:pPr>
        <w:pStyle w:val="Heading1"/>
      </w:pPr>
      <w:r>
        <w:lastRenderedPageBreak/>
        <w:t>Conclusion</w:t>
      </w:r>
    </w:p>
    <w:p w14:paraId="2087369C" w14:textId="7574DB86" w:rsidR="00B0757A" w:rsidRPr="00B0757A" w:rsidRDefault="00B65D30" w:rsidP="00B0757A">
      <w:r>
        <w:t xml:space="preserve">The conclusion of this lab assignment is that </w:t>
      </w:r>
      <w:r w:rsidR="00C42DEE">
        <w:t>the timer has more functions tha</w:t>
      </w:r>
      <w:r w:rsidR="00943096">
        <w:t>n what was tested in this assignment. This assignment is merely understanding how to manipulate the registers to make a timer</w:t>
      </w:r>
      <w:r w:rsidR="00B3548B">
        <w:t xml:space="preserve"> execute with different period</w:t>
      </w:r>
      <w:r w:rsidR="00C1485A">
        <w:t xml:space="preserve"> and duty cycle.</w:t>
      </w:r>
      <w:r w:rsidR="000C2DBD">
        <w:t xml:space="preserve"> It has the same terms </w:t>
      </w:r>
      <w:proofErr w:type="gramStart"/>
      <w:r w:rsidR="000C2DBD">
        <w:t>like</w:t>
      </w:r>
      <w:proofErr w:type="gramEnd"/>
      <w:r w:rsidR="000C2DBD">
        <w:t xml:space="preserve"> the previous assignment which made it easier on how the </w:t>
      </w:r>
      <w:r w:rsidR="0072594F">
        <w:t>timer frequency is calculated.</w:t>
      </w:r>
    </w:p>
    <w:p w14:paraId="3F9AB969" w14:textId="4CB5FC6D" w:rsidR="00385ACC" w:rsidRDefault="00385ACC" w:rsidP="00385ACC">
      <w:pPr>
        <w:pStyle w:val="Heading1"/>
      </w:pPr>
      <w:r>
        <w:t>Bib</w:t>
      </w:r>
      <w:r w:rsidR="00AD57F4">
        <w:t>l</w:t>
      </w:r>
      <w:r>
        <w:t>iography</w:t>
      </w:r>
    </w:p>
    <w:p w14:paraId="23E44DCE" w14:textId="01B573CF" w:rsidR="00385ACC" w:rsidRDefault="00AD57F4" w:rsidP="00AD57F4">
      <w:pPr>
        <w:rPr>
          <w:rFonts w:ascii="Open Sans" w:hAnsi="Open Sans" w:cs="Open Sans"/>
          <w:sz w:val="20"/>
          <w:szCs w:val="20"/>
          <w:shd w:val="clear" w:color="auto" w:fill="FFFFFF"/>
        </w:rPr>
      </w:pPr>
      <w:r w:rsidRPr="00AD57F4">
        <w:rPr>
          <w:rFonts w:ascii="Open Sans" w:hAnsi="Open Sans" w:cs="Open Sans"/>
          <w:sz w:val="20"/>
          <w:szCs w:val="20"/>
          <w:shd w:val="clear" w:color="auto" w:fill="FFFFFF"/>
        </w:rPr>
        <w:t xml:space="preserve">STMicroelectronics NV. (2017). </w:t>
      </w:r>
      <w:r w:rsidRPr="00AD57F4"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RM0316 Reference manual</w:t>
      </w:r>
      <w:r w:rsidRPr="00AD57F4">
        <w:rPr>
          <w:rFonts w:ascii="Open Sans" w:hAnsi="Open Sans" w:cs="Open Sans"/>
          <w:sz w:val="20"/>
          <w:szCs w:val="20"/>
          <w:shd w:val="clear" w:color="auto" w:fill="FFFFFF"/>
        </w:rPr>
        <w:t xml:space="preserve"> [Ebook]. Retrieved from </w:t>
      </w:r>
      <w:hyperlink r:id="rId7" w:history="1">
        <w:r w:rsidRPr="006A095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https://www.st.com/resource/en/reference_manual/dm00043574-stm32f303xb-c-d-e-stm32f303x6-8-stm32f328x8-stm32f358xc-stm32f398xe-advanced-arm-based-mcus-stmicroelectronics.pdf</w:t>
        </w:r>
      </w:hyperlink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p w14:paraId="2928879E" w14:textId="0F104D1D" w:rsidR="00DA3B95" w:rsidRPr="00AD57F4" w:rsidRDefault="00DA3B95" w:rsidP="00AD57F4">
      <w:pPr>
        <w:rPr>
          <w:rFonts w:ascii="Open Sans" w:hAnsi="Open Sans" w:cs="Open Sans"/>
          <w:sz w:val="20"/>
          <w:szCs w:val="20"/>
          <w:shd w:val="clear" w:color="auto" w:fill="FFFFFF"/>
        </w:rPr>
      </w:pPr>
      <w:r w:rsidRPr="00DA3B95">
        <w:rPr>
          <w:rFonts w:ascii="Open Sans" w:hAnsi="Open Sans" w:cs="Open Sans"/>
          <w:sz w:val="20"/>
          <w:szCs w:val="20"/>
          <w:shd w:val="clear" w:color="auto" w:fill="FFFFFF"/>
        </w:rPr>
        <w:t xml:space="preserve">STMicroelectronics. (2018). STM32F303xB STM32F303xC [Ebook]. Retrieved from </w:t>
      </w:r>
      <w:hyperlink r:id="rId8" w:history="1">
        <w:r w:rsidRPr="006C5DE2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https://www.st.com/resource/en/datasheet/stm32f303vc.pdf</w:t>
        </w:r>
      </w:hyperlink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sectPr w:rsidR="00DA3B95" w:rsidRPr="00AD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08469">
    <w:abstractNumId w:val="0"/>
  </w:num>
  <w:num w:numId="2" w16cid:durableId="81653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151E8"/>
    <w:rsid w:val="00065813"/>
    <w:rsid w:val="00070E83"/>
    <w:rsid w:val="000904C7"/>
    <w:rsid w:val="000C2DBD"/>
    <w:rsid w:val="000D3195"/>
    <w:rsid w:val="000D3F02"/>
    <w:rsid w:val="000D7001"/>
    <w:rsid w:val="001036AB"/>
    <w:rsid w:val="0011480D"/>
    <w:rsid w:val="0012696D"/>
    <w:rsid w:val="00130F8A"/>
    <w:rsid w:val="00163A48"/>
    <w:rsid w:val="001D2E01"/>
    <w:rsid w:val="001E5F36"/>
    <w:rsid w:val="002116EB"/>
    <w:rsid w:val="00213BCB"/>
    <w:rsid w:val="00214B40"/>
    <w:rsid w:val="00224137"/>
    <w:rsid w:val="00255FB0"/>
    <w:rsid w:val="00257B90"/>
    <w:rsid w:val="00265618"/>
    <w:rsid w:val="00275B0F"/>
    <w:rsid w:val="002C4BE4"/>
    <w:rsid w:val="00300BEF"/>
    <w:rsid w:val="003070A7"/>
    <w:rsid w:val="00325633"/>
    <w:rsid w:val="00385ACC"/>
    <w:rsid w:val="00390C8D"/>
    <w:rsid w:val="003B3F62"/>
    <w:rsid w:val="00415958"/>
    <w:rsid w:val="004267CC"/>
    <w:rsid w:val="00435A41"/>
    <w:rsid w:val="0043658F"/>
    <w:rsid w:val="004938D1"/>
    <w:rsid w:val="004B0AF9"/>
    <w:rsid w:val="004B743E"/>
    <w:rsid w:val="004D151D"/>
    <w:rsid w:val="004E2093"/>
    <w:rsid w:val="004F15D3"/>
    <w:rsid w:val="00503496"/>
    <w:rsid w:val="0050765F"/>
    <w:rsid w:val="00513F42"/>
    <w:rsid w:val="00571C71"/>
    <w:rsid w:val="00592075"/>
    <w:rsid w:val="005A54D5"/>
    <w:rsid w:val="005C03A5"/>
    <w:rsid w:val="005C6A1C"/>
    <w:rsid w:val="005E6B5E"/>
    <w:rsid w:val="005F44B7"/>
    <w:rsid w:val="00607A4F"/>
    <w:rsid w:val="006210C8"/>
    <w:rsid w:val="006568BC"/>
    <w:rsid w:val="006B0D46"/>
    <w:rsid w:val="006B1844"/>
    <w:rsid w:val="007245C2"/>
    <w:rsid w:val="0072594F"/>
    <w:rsid w:val="00734D3D"/>
    <w:rsid w:val="00770FB2"/>
    <w:rsid w:val="0079300A"/>
    <w:rsid w:val="0079518E"/>
    <w:rsid w:val="007963D6"/>
    <w:rsid w:val="007E3E16"/>
    <w:rsid w:val="007F6EB7"/>
    <w:rsid w:val="00875B08"/>
    <w:rsid w:val="008C2A13"/>
    <w:rsid w:val="008C6B96"/>
    <w:rsid w:val="008D3ADF"/>
    <w:rsid w:val="00905B37"/>
    <w:rsid w:val="00907E31"/>
    <w:rsid w:val="009346A7"/>
    <w:rsid w:val="00943096"/>
    <w:rsid w:val="0098564E"/>
    <w:rsid w:val="009A3395"/>
    <w:rsid w:val="009E6B15"/>
    <w:rsid w:val="009F5EDC"/>
    <w:rsid w:val="00A358FC"/>
    <w:rsid w:val="00A419CD"/>
    <w:rsid w:val="00A72EB0"/>
    <w:rsid w:val="00AC5526"/>
    <w:rsid w:val="00AD57F4"/>
    <w:rsid w:val="00AE27A6"/>
    <w:rsid w:val="00B01CA1"/>
    <w:rsid w:val="00B0757A"/>
    <w:rsid w:val="00B3548B"/>
    <w:rsid w:val="00B65D30"/>
    <w:rsid w:val="00B776E0"/>
    <w:rsid w:val="00B824DF"/>
    <w:rsid w:val="00BA3D70"/>
    <w:rsid w:val="00BA56A5"/>
    <w:rsid w:val="00BD1F28"/>
    <w:rsid w:val="00BE655B"/>
    <w:rsid w:val="00C1485A"/>
    <w:rsid w:val="00C14897"/>
    <w:rsid w:val="00C42DEE"/>
    <w:rsid w:val="00C46F6D"/>
    <w:rsid w:val="00C5627F"/>
    <w:rsid w:val="00C948CD"/>
    <w:rsid w:val="00CA51D4"/>
    <w:rsid w:val="00CC63E5"/>
    <w:rsid w:val="00CE60BC"/>
    <w:rsid w:val="00CF68CE"/>
    <w:rsid w:val="00D1196F"/>
    <w:rsid w:val="00D235F5"/>
    <w:rsid w:val="00D236FA"/>
    <w:rsid w:val="00D2384A"/>
    <w:rsid w:val="00D46949"/>
    <w:rsid w:val="00D5728C"/>
    <w:rsid w:val="00D8179B"/>
    <w:rsid w:val="00D83C91"/>
    <w:rsid w:val="00D92AB5"/>
    <w:rsid w:val="00DA3B95"/>
    <w:rsid w:val="00DB0BA8"/>
    <w:rsid w:val="00DE3BBC"/>
    <w:rsid w:val="00DF2A10"/>
    <w:rsid w:val="00E009B9"/>
    <w:rsid w:val="00E1087E"/>
    <w:rsid w:val="00E375E6"/>
    <w:rsid w:val="00E47173"/>
    <w:rsid w:val="00E60B5A"/>
    <w:rsid w:val="00E7690F"/>
    <w:rsid w:val="00E87610"/>
    <w:rsid w:val="00EA2108"/>
    <w:rsid w:val="00EE2043"/>
    <w:rsid w:val="00EE3C98"/>
    <w:rsid w:val="00EF6E07"/>
    <w:rsid w:val="00F00E34"/>
    <w:rsid w:val="00F22B33"/>
    <w:rsid w:val="00F24A00"/>
    <w:rsid w:val="00F36028"/>
    <w:rsid w:val="00F60983"/>
    <w:rsid w:val="00F77F0C"/>
    <w:rsid w:val="00F82281"/>
    <w:rsid w:val="00F93497"/>
    <w:rsid w:val="00FD6032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7F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stm32f303v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043574-stm32f303xb-c-d-e-stm32f303x6-8-stm32f328x8-stm32f358xc-stm32f398xe-advanced-arm-based-mcus-stmicroelectroni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123</cp:revision>
  <dcterms:created xsi:type="dcterms:W3CDTF">2022-09-30T22:16:00Z</dcterms:created>
  <dcterms:modified xsi:type="dcterms:W3CDTF">2022-10-09T15:55:00Z</dcterms:modified>
</cp:coreProperties>
</file>