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Universidade Tecnológica Federal do Paraná - Campus Dois Vizinhos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Especialização em Ciência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68"/>
          <w:szCs w:val="6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center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Resolução de Problemas com Ciência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vertAlign w:val="baseline"/>
        </w:rPr>
      </w:pPr>
      <w:r w:rsidDel="00000000" w:rsidR="00000000" w:rsidRPr="00000000">
        <w:rPr>
          <w:b w:val="1"/>
          <w:i w:val="0"/>
          <w:smallCaps w:val="0"/>
          <w:sz w:val="56"/>
          <w:szCs w:val="56"/>
          <w:vertAlign w:val="baseline"/>
          <w:rtl w:val="0"/>
        </w:rPr>
        <w:t xml:space="preserve">Estudo de caso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68"/>
          <w:szCs w:val="6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pacing w:after="143" w:before="0" w:lineRule="auto"/>
        <w:ind w:left="0" w:right="0" w:firstLine="0"/>
        <w:jc w:val="center"/>
        <w:rPr>
          <w:vertAlign w:val="baseline"/>
        </w:rPr>
      </w:pPr>
      <w:r w:rsidDel="00000000" w:rsidR="00000000" w:rsidRPr="00000000">
        <w:rPr>
          <w:b w:val="1"/>
          <w:i w:val="0"/>
          <w:smallCaps w:val="0"/>
          <w:sz w:val="48"/>
          <w:szCs w:val="48"/>
          <w:vertAlign w:val="baseline"/>
          <w:rtl w:val="0"/>
        </w:rPr>
        <w:t xml:space="preserve">Mercado financeiro para compra e venda de 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vertAlign w:val="baseline"/>
        </w:r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Grupo 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Rule="auto"/>
        <w:jc w:val="center"/>
        <w:rPr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Dois Vizinhos - PR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Rule="auto"/>
        <w:jc w:val="center"/>
        <w:rPr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Rule="auto"/>
        <w:jc w:val="center"/>
        <w:rPr>
          <w:b w:val="1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 do Grupo 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Ana Paula Fernandes Lucio Menezes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Gabriel Stankevix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Soares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 Heron Carlos Gonçalves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vertAlign w:val="baseline"/>
        </w:rPr>
      </w:pPr>
      <w:r w:rsidDel="00000000" w:rsidR="00000000" w:rsidRPr="00000000">
        <w:rPr>
          <w:b w:val="0"/>
          <w:sz w:val="24"/>
          <w:szCs w:val="24"/>
          <w:vertAlign w:val="baseline"/>
          <w:rtl w:val="0"/>
        </w:rPr>
        <w:t xml:space="preserve">Isabela  Fernanda Capetti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Conteúdo atividade semana 3:</w:t>
      </w: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Ind w:w="0.0" w:type="dxa"/>
        <w:tblLayout w:type="fixed"/>
        <w:tblLook w:val="0000"/>
      </w:tblPr>
      <w:tblGrid>
        <w:gridCol w:w="10466"/>
        <w:tblGridChange w:id="0">
          <w:tblGrid>
            <w:gridCol w:w="10466"/>
          </w:tblGrid>
        </w:tblGridChange>
      </w:tblGrid>
      <w:tr>
        <w:trPr>
          <w:trHeight w:val="317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143" w:before="0" w:lineRule="auto"/>
              <w:ind w:left="0" w:right="0" w:firstLine="0"/>
              <w:rPr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color w:val="000000"/>
                <w:sz w:val="24"/>
                <w:szCs w:val="24"/>
                <w:vertAlign w:val="baseline"/>
                <w:rtl w:val="0"/>
              </w:rPr>
              <w:t xml:space="preserve">Contexto da área do problema/estudo de caso </w:t>
            </w:r>
            <w:r w:rsidDel="00000000" w:rsidR="00000000" w:rsidRPr="00000000">
              <w:rPr>
                <w:b w:val="0"/>
                <w:i w:val="0"/>
                <w:smallCaps w:val="0"/>
                <w:color w:val="000000"/>
                <w:sz w:val="24"/>
                <w:szCs w:val="24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b w:val="0"/>
                <w:i w:val="0"/>
                <w:color w:val="000000"/>
                <w:sz w:val="22"/>
                <w:szCs w:val="22"/>
                <w:vertAlign w:val="baseline"/>
                <w:rtl w:val="0"/>
              </w:rPr>
              <w:t xml:space="preserve">Aplicar aprendizado de máquina para analisarmos a previsão de valores futuros e tendências de ações no mercado financeiro. Para este estudo de caso foram </w:t>
            </w:r>
            <w:r w:rsidDel="00000000" w:rsidR="00000000" w:rsidRPr="00000000">
              <w:rPr>
                <w:rtl w:val="0"/>
              </w:rPr>
              <w:t xml:space="preserve">selecionadas</w:t>
            </w:r>
            <w:r w:rsidDel="00000000" w:rsidR="00000000" w:rsidRPr="00000000">
              <w:rPr>
                <w:b w:val="0"/>
                <w:i w:val="0"/>
                <w:color w:val="000000"/>
                <w:sz w:val="22"/>
                <w:szCs w:val="22"/>
                <w:vertAlign w:val="baseline"/>
                <w:rtl w:val="0"/>
              </w:rPr>
              <w:t xml:space="preserve"> as ações da </w:t>
            </w:r>
            <w:r w:rsidDel="00000000" w:rsidR="00000000" w:rsidRPr="00000000">
              <w:rPr>
                <w:rtl w:val="0"/>
              </w:rPr>
              <w:t xml:space="preserve">Itaúsa,</w:t>
            </w:r>
            <w:r w:rsidDel="00000000" w:rsidR="00000000" w:rsidRPr="00000000">
              <w:rPr>
                <w:b w:val="0"/>
                <w:i w:val="0"/>
                <w:color w:val="000000"/>
                <w:sz w:val="22"/>
                <w:szCs w:val="22"/>
                <w:vertAlign w:val="baseline"/>
                <w:rtl w:val="0"/>
              </w:rPr>
              <w:t xml:space="preserve"> dados reais de mercado, durante o período de 2016 a 2021. </w:t>
            </w:r>
            <w:r w:rsidDel="00000000" w:rsidR="00000000" w:rsidRPr="00000000">
              <w:rPr>
                <w:b w:val="0"/>
                <w:i w:val="0"/>
                <w:smallCaps w:val="0"/>
                <w:color w:val="000000"/>
                <w:sz w:val="22"/>
                <w:szCs w:val="22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after="143" w:before="0" w:lineRule="auto"/>
              <w:ind w:left="0" w:right="0" w:firstLine="0"/>
              <w:rPr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color w:val="000000"/>
                <w:sz w:val="24"/>
                <w:szCs w:val="24"/>
                <w:vertAlign w:val="baseline"/>
                <w:rtl w:val="0"/>
              </w:rPr>
              <w:t xml:space="preserve">Definição do problema : </w:t>
            </w:r>
            <w:r w:rsidDel="00000000" w:rsidR="00000000" w:rsidRPr="00000000">
              <w:rPr>
                <w:b w:val="0"/>
                <w:i w:val="0"/>
                <w:smallCaps w:val="0"/>
                <w:color w:val="000000"/>
                <w:sz w:val="24"/>
                <w:szCs w:val="24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i w:val="0"/>
                <w:color w:val="000000"/>
                <w:sz w:val="22"/>
                <w:szCs w:val="22"/>
                <w:vertAlign w:val="baseline"/>
                <w:rtl w:val="0"/>
              </w:rPr>
              <w:t xml:space="preserve">Cada vez mais o mercado de ações brasileiro ganha mais público e importância para pequeno e médio investidores. Identificar a oportunidade de compra e venda com objetivo de melhorar a rentabilidade é o desafio principal </w:t>
            </w:r>
            <w:r w:rsidDel="00000000" w:rsidR="00000000" w:rsidRPr="00000000">
              <w:rPr>
                <w:rtl w:val="0"/>
              </w:rPr>
              <w:t xml:space="preserve">dos novos</w:t>
            </w:r>
            <w:r w:rsidDel="00000000" w:rsidR="00000000" w:rsidRPr="00000000">
              <w:rPr>
                <w:b w:val="0"/>
                <w:i w:val="0"/>
                <w:color w:val="000000"/>
                <w:sz w:val="22"/>
                <w:szCs w:val="22"/>
                <w:vertAlign w:val="baseline"/>
                <w:rtl w:val="0"/>
              </w:rPr>
              <w:t xml:space="preserve"> acionistas.</w:t>
            </w:r>
            <w:bookmarkStart w:colFirst="0" w:colLast="0" w:name="bookmark=id.gjdgxs" w:id="0"/>
            <w:bookmarkEnd w:id="0"/>
            <w:r w:rsidDel="00000000" w:rsidR="00000000" w:rsidRPr="00000000">
              <w:rPr>
                <w:b w:val="0"/>
                <w:i w:val="0"/>
                <w:smallCaps w:val="0"/>
                <w:color w:val="000000"/>
                <w:sz w:val="24"/>
                <w:szCs w:val="24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b w:val="1"/>
                <w:i w:val="0"/>
                <w:smallCaps w:val="0"/>
                <w:color w:val="000000"/>
                <w:sz w:val="24"/>
                <w:szCs w:val="24"/>
                <w:vertAlign w:val="baseline"/>
                <w:rtl w:val="0"/>
              </w:rPr>
              <w:t xml:space="preserve">Justificativa/Importância: </w:t>
            </w:r>
            <w:r w:rsidDel="00000000" w:rsidR="00000000" w:rsidRPr="00000000">
              <w:rPr>
                <w:b w:val="0"/>
                <w:i w:val="0"/>
                <w:smallCaps w:val="0"/>
                <w:color w:val="000000"/>
                <w:sz w:val="24"/>
                <w:szCs w:val="24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i w:val="0"/>
                <w:color w:val="000000"/>
                <w:sz w:val="22"/>
                <w:szCs w:val="22"/>
                <w:vertAlign w:val="baseline"/>
                <w:rtl w:val="0"/>
              </w:rPr>
              <w:t xml:space="preserve">Entender os momentos mais adequados para fazer sua aplicação, garante maior segurança e robustez nas tomadas de decisão. Isso impacta </w:t>
            </w:r>
            <w:r w:rsidDel="00000000" w:rsidR="00000000" w:rsidRPr="00000000">
              <w:rPr>
                <w:rtl w:val="0"/>
              </w:rPr>
              <w:t xml:space="preserve">diretamente no retorno</w:t>
            </w:r>
            <w:r w:rsidDel="00000000" w:rsidR="00000000" w:rsidRPr="00000000">
              <w:rPr>
                <w:b w:val="0"/>
                <w:i w:val="0"/>
                <w:color w:val="000000"/>
                <w:sz w:val="22"/>
                <w:szCs w:val="22"/>
                <w:vertAlign w:val="baseline"/>
                <w:rtl w:val="0"/>
              </w:rPr>
              <w:t xml:space="preserve"> de futuros aportes dos acionistas para maximização de ganhos e valorização do ativo.</w:t>
            </w:r>
            <w:r w:rsidDel="00000000" w:rsidR="00000000" w:rsidRPr="00000000">
              <w:rPr>
                <w:b w:val="0"/>
                <w:i w:val="0"/>
                <w:smallCaps w:val="0"/>
                <w:color w:val="000000"/>
                <w:sz w:val="24"/>
                <w:szCs w:val="24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b w:val="1"/>
                <w:i w:val="0"/>
                <w:smallCaps w:val="0"/>
                <w:color w:val="000000"/>
                <w:sz w:val="24"/>
                <w:szCs w:val="24"/>
                <w:vertAlign w:val="baseline"/>
                <w:rtl w:val="0"/>
              </w:rPr>
              <w:t xml:space="preserve">Descrição dos dados :</w:t>
            </w:r>
            <w:r w:rsidDel="00000000" w:rsidR="00000000" w:rsidRPr="00000000">
              <w:rPr>
                <w:b w:val="0"/>
                <w:i w:val="0"/>
                <w:smallCaps w:val="0"/>
                <w:color w:val="000000"/>
                <w:sz w:val="24"/>
                <w:szCs w:val="24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4757.0" w:type="dxa"/>
              <w:jc w:val="left"/>
              <w:tblLayout w:type="fixed"/>
              <w:tblLook w:val="0000"/>
            </w:tblPr>
            <w:tblGrid>
              <w:gridCol w:w="1360"/>
              <w:gridCol w:w="910"/>
              <w:gridCol w:w="2487"/>
              <w:tblGridChange w:id="0">
                <w:tblGrid>
                  <w:gridCol w:w="1360"/>
                  <w:gridCol w:w="910"/>
                  <w:gridCol w:w="2487"/>
                </w:tblGrid>
              </w:tblGridChange>
            </w:tblGrid>
            <w:t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1E">
                  <w:pPr>
                    <w:widowControl w:val="0"/>
                    <w:spacing w:after="200" w:before="0" w:lineRule="auto"/>
                    <w:jc w:val="left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1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Variável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1F">
                  <w:pPr>
                    <w:widowControl w:val="0"/>
                    <w:spacing w:after="200" w:before="0" w:lineRule="auto"/>
                    <w:jc w:val="both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1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Tipo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20">
                  <w:pPr>
                    <w:widowControl w:val="0"/>
                    <w:spacing w:after="200" w:before="0" w:lineRule="auto"/>
                    <w:jc w:val="both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1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Descrição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21">
                  <w:pPr>
                    <w:widowControl w:val="0"/>
                    <w:spacing w:after="200" w:before="0" w:lineRule="auto"/>
                    <w:jc w:val="left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Data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22">
                  <w:pPr>
                    <w:widowControl w:val="0"/>
                    <w:spacing w:after="200" w:before="0" w:lineRule="auto"/>
                    <w:jc w:val="both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Date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23">
                  <w:pPr>
                    <w:widowControl w:val="0"/>
                    <w:spacing w:after="200" w:before="0" w:lineRule="auto"/>
                    <w:jc w:val="both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Dados diários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24">
                  <w:pPr>
                    <w:widowControl w:val="0"/>
                    <w:spacing w:after="200" w:before="0" w:lineRule="auto"/>
                    <w:jc w:val="left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Último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25">
                  <w:pPr>
                    <w:widowControl w:val="0"/>
                    <w:spacing w:after="200" w:before="0" w:lineRule="auto"/>
                    <w:jc w:val="both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Float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26">
                  <w:pPr>
                    <w:widowControl w:val="0"/>
                    <w:spacing w:after="200" w:before="0" w:lineRule="auto"/>
                    <w:jc w:val="both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Dado de fechamento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27">
                  <w:pPr>
                    <w:widowControl w:val="0"/>
                    <w:spacing w:after="200" w:before="0" w:lineRule="auto"/>
                    <w:jc w:val="left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Abertura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28">
                  <w:pPr>
                    <w:widowControl w:val="0"/>
                    <w:spacing w:after="200" w:before="0" w:lineRule="auto"/>
                    <w:jc w:val="both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Float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29">
                  <w:pPr>
                    <w:widowControl w:val="0"/>
                    <w:spacing w:after="200" w:before="0" w:lineRule="auto"/>
                    <w:jc w:val="both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Dado de abertura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2A">
                  <w:pPr>
                    <w:widowControl w:val="0"/>
                    <w:spacing w:after="200" w:before="0" w:lineRule="auto"/>
                    <w:jc w:val="left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Máximo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2B">
                  <w:pPr>
                    <w:widowControl w:val="0"/>
                    <w:spacing w:after="200" w:before="0" w:lineRule="auto"/>
                    <w:jc w:val="both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Float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2C">
                  <w:pPr>
                    <w:widowControl w:val="0"/>
                    <w:spacing w:after="200" w:before="0" w:lineRule="auto"/>
                    <w:jc w:val="both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Valor máximo diário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2D">
                  <w:pPr>
                    <w:widowControl w:val="0"/>
                    <w:spacing w:after="200" w:before="0" w:lineRule="auto"/>
                    <w:jc w:val="left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Mínimo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2E">
                  <w:pPr>
                    <w:widowControl w:val="0"/>
                    <w:spacing w:after="200" w:before="0" w:lineRule="auto"/>
                    <w:jc w:val="both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Float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2F">
                  <w:pPr>
                    <w:widowControl w:val="0"/>
                    <w:spacing w:after="200" w:before="0" w:lineRule="auto"/>
                    <w:jc w:val="both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Valor mínimo diário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30">
                  <w:pPr>
                    <w:widowControl w:val="0"/>
                    <w:spacing w:after="200" w:before="0" w:lineRule="auto"/>
                    <w:jc w:val="left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Volume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31">
                  <w:pPr>
                    <w:widowControl w:val="0"/>
                    <w:spacing w:after="200" w:before="0" w:lineRule="auto"/>
                    <w:jc w:val="both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String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32">
                  <w:pPr>
                    <w:widowControl w:val="0"/>
                    <w:spacing w:after="200" w:before="0" w:lineRule="auto"/>
                    <w:jc w:val="both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Volume total em reais negociados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33">
                  <w:pPr>
                    <w:widowControl w:val="0"/>
                    <w:spacing w:after="200" w:before="0" w:lineRule="auto"/>
                    <w:jc w:val="left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Variação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34">
                  <w:pPr>
                    <w:widowControl w:val="0"/>
                    <w:spacing w:after="200" w:before="0" w:lineRule="auto"/>
                    <w:jc w:val="both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Float %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35">
                  <w:pPr>
                    <w:widowControl w:val="0"/>
                    <w:spacing w:after="200" w:before="0" w:lineRule="auto"/>
                    <w:jc w:val="both"/>
                    <w:rPr>
                      <w:vertAlign w:val="baseline"/>
                    </w:rPr>
                  </w:pPr>
                  <w:r w:rsidDel="00000000" w:rsidR="00000000" w:rsidRPr="00000000">
                    <w:rPr>
                      <w:b w:val="0"/>
                      <w:i w:val="0"/>
                      <w:color w:val="000000"/>
                      <w:sz w:val="16"/>
                      <w:szCs w:val="16"/>
                      <w:vertAlign w:val="baseline"/>
                      <w:rtl w:val="0"/>
                    </w:rPr>
                    <w:t xml:space="preserve">Variação diária das negociações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bookmarkStart w:colFirst="0" w:colLast="0" w:name="bookmark=id.30j0zll" w:id="1"/>
          <w:bookmarkEnd w:id="1"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Pré-seleção de variáveis (quais variáveis são mais importantes para solucionar o problema):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princípio serão todas as variáveis analisadas para solucionar o problema até o momento em que aplicarmos um método de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feature importance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bookmarkStart w:colFirst="0" w:colLast="0" w:name="bookmark=id.1fob9te" w:id="2"/>
            <w:bookmarkEnd w:id="2"/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Pré-seleção do método (qual o primeiro método (candidato) que será utilizado e por qual motivo):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 primeiro momento, serão aplicados modelos da classe de autorregressão devido a característica dos dados e por serem os mais populares na literatura/academia. Em um segundo momento, será proposto um modelo de rede neural para comparar e ou melhorar as performances obtidas.</w:t>
            </w:r>
          </w:p>
        </w:tc>
      </w:tr>
    </w:tbl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Conteúdo atividade semana 5:</w:t>
      </w:r>
      <w:r w:rsidDel="00000000" w:rsidR="00000000" w:rsidRPr="00000000">
        <w:rPr>
          <w:rtl w:val="0"/>
        </w:rPr>
      </w:r>
    </w:p>
    <w:tbl>
      <w:tblPr>
        <w:tblStyle w:val="Table3"/>
        <w:tblW w:w="10466.0" w:type="dxa"/>
        <w:jc w:val="left"/>
        <w:tblInd w:w="0.0" w:type="dxa"/>
        <w:tblLayout w:type="fixed"/>
        <w:tblLook w:val="0000"/>
      </w:tblPr>
      <w:tblGrid>
        <w:gridCol w:w="10466"/>
        <w:tblGridChange w:id="0">
          <w:tblGrid>
            <w:gridCol w:w="10466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Qual a fonte dos dados: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1252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Repositório Yahoo Finance.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Como foi/será feita a coleta/geração dos dados?: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1252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Via download direto do site de acordo com as orientações contidas neste link </w:t>
            </w:r>
            <w:hyperlink r:id="rId7">
              <w:r w:rsidDel="00000000" w:rsidR="00000000" w:rsidRPr="00000000">
                <w:rPr>
                  <w:rFonts w:ascii="Calibri" w:cs="Calibri" w:eastAsia="Calibri" w:hAnsi="Calibri"/>
                  <w:b w:val="0"/>
                  <w:i w:val="0"/>
                  <w:smallCaps w:val="0"/>
                  <w:strike w:val="0"/>
                  <w:color w:val="212529"/>
                  <w:sz w:val="22"/>
                  <w:szCs w:val="22"/>
                  <w:u w:val="single"/>
                  <w:shd w:fill="auto" w:val="clear"/>
                  <w:vertAlign w:val="baseline"/>
                  <w:rtl w:val="0"/>
                </w:rPr>
                <w:t xml:space="preserve">https://help.yahoo.com/kb/download-historical-data-yahoo-finance-sln2311.html</w:t>
              </w:r>
            </w:hyperlink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1252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Os dados serão/foram obtidos de terceiros? 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Dados obtidos de fonte pública disponibilizados pelo Yahoo Finance.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Qual foi a metodologia para a geração/coleta destes dados ?: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Desde 1997 o Yahoo Finance fornece gratuitamente dados financeiros, notícias e cotações de diversas ações negociadas nas bolsas de valores do mundo todo com objetivo de apoiar no portfólios e gerenciamento das finanças dos usuários.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Quais as considerações éticas no uso destes dados? 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1252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 informações disponibilizadas são para fins acessos diários de usuários que podem realizar download para uso em análises de finanças pessoais.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Conteúdo atividade semana 7:</w:t>
      </w:r>
      <w:r w:rsidDel="00000000" w:rsidR="00000000" w:rsidRPr="00000000">
        <w:rPr>
          <w:rtl w:val="0"/>
        </w:rPr>
      </w:r>
    </w:p>
    <w:tbl>
      <w:tblPr>
        <w:tblStyle w:val="Table4"/>
        <w:tblW w:w="10436.0" w:type="dxa"/>
        <w:jc w:val="right"/>
        <w:tblLayout w:type="fixed"/>
        <w:tblLook w:val="0000"/>
      </w:tblPr>
      <w:tblGrid>
        <w:gridCol w:w="10436"/>
        <w:tblGridChange w:id="0">
          <w:tblGrid>
            <w:gridCol w:w="10436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Resultado preliminar da solução do problema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12529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Qual método foi aplicado e como (Metodologia)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Os dados coletados são caracterizados por uma </w:t>
            </w:r>
            <w:r w:rsidDel="00000000" w:rsidR="00000000" w:rsidRPr="00000000">
              <w:rPr>
                <w:rtl w:val="0"/>
              </w:rPr>
              <w:t xml:space="preserve">sequência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de valores que são dependentes das datas correspondentes  a cada linha.  Esse tipo de dado em que a ordem temporal  é crucial para o entendimento das observações, além de possível presença de fatores como tendência e sazonalidade, caracterizam as chamadas séries temporais. 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Essa série temporal é da Itausa Investimentos </w:t>
            </w:r>
            <w:r w:rsidDel="00000000" w:rsidR="00000000" w:rsidRPr="00000000">
              <w:rPr>
                <w:rtl w:val="0"/>
              </w:rPr>
              <w:t xml:space="preserve">Itaú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SA que é uma empresa sediada no Brasil com atividade principal no setor bancário. As atividades da Companhia estão divididas em dois segmentos de negócios: Financeiro e Industrial.  A divisão </w:t>
            </w:r>
            <w:r w:rsidDel="00000000" w:rsidR="00000000" w:rsidRPr="00000000">
              <w:rPr>
                <w:rtl w:val="0"/>
              </w:rPr>
              <w:t xml:space="preserve">Financeira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concentra-se na gestão do </w:t>
            </w:r>
            <w:r w:rsidDel="00000000" w:rsidR="00000000" w:rsidRPr="00000000">
              <w:rPr>
                <w:rtl w:val="0"/>
              </w:rPr>
              <w:t xml:space="preserve">Itaú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Unibanco Holding SA, uma instituição bancária que oferece produtos e serviços financeiros, como empréstimos, cartões de crédito, contas correntes, apólices de seguros, ferramentas de investimento, corretagem de valores mobiliários, consultoria de tesouraria e investimentos para clientes individuais e empresas. A divisão Industrial é responsável pela operação da Itautec SA, que fabrica equipamentos de automação comercial e bancária, além de prestar serviços de tecnologia da informação (TI); Duratex SA, que produz painéis de madeira, louças sanitárias e metais sanitários, e Alpargatas, que produz calçados sob as marcas Juntas, Havaianas e Dupe, entre outros.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1589405</wp:posOffset>
                  </wp:positionV>
                  <wp:extent cx="4849495" cy="1741170"/>
                  <wp:effectExtent b="0" l="0" r="0" t="0"/>
                  <wp:wrapSquare wrapText="bothSides" distB="0" distT="0" distL="0" distR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9495" cy="17411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 etapas da modelagem foram as seguintes: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Identificação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da variável target – “Último” que foi o valor de fechamento do dia 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Identificação do modelo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Inclusão de novas variáveis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Estimação dos parâmetros 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Análise da adequação do modelo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Inclusão das variáveis exógenas (que podem interferir em outra)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Previsão e validação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Considerando esse domínio temporal e os fatores citados, a modelagem da informação de fechamento do valor da ação Itausa foi avaliado pelo método Sarimax que explica a variável dependente pela combinação das variáveis exógenas e suas defasagens com defasagens da variável dependente, com os seguintes parâmetros :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 é o número de defasagens da série (parte autorregressiva) não sazonal ou estacionária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 é a ordem de diferenciação não sazonal para alcançar estacionariedade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 é ordem não sazonal de médias móveis 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 é ordem da parte autorregressiva sazonal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 é ordem da parte de diferenciação sazonal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 é ordem da parte sazonal de médias móveis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Além das variáveis contidas no conjunto de dados de origem, foram </w:t>
            </w:r>
            <w:r w:rsidDel="00000000" w:rsidR="00000000" w:rsidRPr="00000000">
              <w:rPr>
                <w:rtl w:val="0"/>
              </w:rPr>
              <w:t xml:space="preserve">incluídas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as seguintes variáveis  exógenas: Covid, Mês, Quadrimestre, Dia_da_semana, CriticalCovid. 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512444</wp:posOffset>
                  </wp:positionH>
                  <wp:positionV relativeFrom="paragraph">
                    <wp:posOffset>-4444</wp:posOffset>
                  </wp:positionV>
                  <wp:extent cx="5081905" cy="2178685"/>
                  <wp:effectExtent b="0" l="0" r="0" t="0"/>
                  <wp:wrapSquare wrapText="bothSides" distB="0" distT="0" distL="0" distR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905" cy="21786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Análise de estacionariedade indica que a nossa série temporal pode ser predita a partir de um grau de diferenciação.</w:t>
              <w:br w:type="textWrapping"/>
            </w:r>
          </w:p>
          <w:tbl>
            <w:tblPr>
              <w:tblStyle w:val="Table5"/>
              <w:tblW w:w="7895.0" w:type="dxa"/>
              <w:jc w:val="left"/>
              <w:tblLayout w:type="fixed"/>
              <w:tblLook w:val="0000"/>
            </w:tblPr>
            <w:tblGrid>
              <w:gridCol w:w="7895"/>
              <w:tblGridChange w:id="0">
                <w:tblGrid>
                  <w:gridCol w:w="7895"/>
                </w:tblGrid>
              </w:tblGridChange>
            </w:tblGrid>
            <w:tr>
              <w:tc>
                <w:tcPr>
                  <w:shd w:fill="auto" w:val="clear"/>
                  <w:vAlign w:val="top"/>
                </w:tcPr>
                <w:p w:rsidR="00000000" w:rsidDel="00000000" w:rsidP="00000000" w:rsidRDefault="00000000" w:rsidRPr="00000000" w14:paraId="00000065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76" w:lineRule="auto"/>
                    <w:ind w:left="720" w:right="0" w:firstLine="0"/>
                    <w:jc w:val="left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Augmented Dickey-Fuller Test – 1 Grau de diferenciação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  <w:t xml:space="preserve">test statistic: -1.9936216495</w:t>
                    <w:br w:type="textWrapping"/>
                    <w:t xml:space="preserve">p-value: 0.2893767676</w:t>
                    <w:br w:type="textWrapping"/>
                    <w:t xml:space="preserve">critical values</w:t>
                    <w:br w:type="textWrapping"/>
                    <w:t xml:space="preserve">    1%: -3.4339921916</w:t>
                    <w:br w:type="textWrapping"/>
                    <w:t xml:space="preserve">    5%: -2.8631488249</w:t>
                    <w:br w:type="textWrapping"/>
                    <w:t xml:space="preserve">    10%: -2.5676264863</w:t>
                    <w:br w:type="textWrapping"/>
                    <w:t xml:space="preserve">Aceitamos a Hipotese Nula</w:t>
                  </w:r>
                </w:p>
                <w:p w:rsidR="00000000" w:rsidDel="00000000" w:rsidP="00000000" w:rsidRDefault="00000000" w:rsidRPr="00000000" w14:paraId="0000006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76" w:lineRule="auto"/>
                    <w:ind w:left="720" w:right="0" w:firstLine="0"/>
                    <w:jc w:val="left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76" w:lineRule="auto"/>
                    <w:ind w:left="720" w:right="0" w:firstLine="0"/>
                    <w:jc w:val="left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Augmented Dickey-Fuller Test – 2 grau de diferenciação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br w:type="textWrapping"/>
                    <w:t xml:space="preserve">test statistic: -14.4013233828</w:t>
                    <w:br w:type="textWrapping"/>
                    <w:t xml:space="preserve">p-value: 0.0000000000</w:t>
                    <w:br w:type="textWrapping"/>
                    <w:t xml:space="preserve">critical values</w:t>
                    <w:br w:type="textWrapping"/>
                    <w:t xml:space="preserve">   1%: -3.4339942213</w:t>
                    <w:br w:type="textWrapping"/>
                    <w:t xml:space="preserve">   5%: -2.8631497210</w:t>
                    <w:br w:type="textWrapping"/>
                    <w:t xml:space="preserve">   10%: -2.5676269634</w:t>
                    <w:br w:type="textWrapping"/>
                    <w:t xml:space="preserve">Rejeitamos a Hipotese Nula</w:t>
                  </w:r>
                </w:p>
              </w:tc>
            </w:tr>
          </w:tbl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273367</wp:posOffset>
                  </wp:positionH>
                  <wp:positionV relativeFrom="paragraph">
                    <wp:posOffset>0</wp:posOffset>
                  </wp:positionV>
                  <wp:extent cx="6099175" cy="4862195"/>
                  <wp:effectExtent b="0" l="0" r="0" t="0"/>
                  <wp:wrapSquare wrapText="bothSides" distB="0" distT="0" distL="0" distR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175" cy="48621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correlação entre elas é representada pela figura abaixo: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273367</wp:posOffset>
                  </wp:positionH>
                  <wp:positionV relativeFrom="paragraph">
                    <wp:posOffset>0</wp:posOffset>
                  </wp:positionV>
                  <wp:extent cx="6099175" cy="2130425"/>
                  <wp:effectExtent b="0" l="0" r="0" t="0"/>
                  <wp:wrapSquare wrapText="bothSides" distB="0" distT="0" distL="0" distR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175" cy="2130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Desta forma, utilizamos como variáveis exógenas ao modelo as variáveis Covid e CriticalCovid como parte do modelo de previsão.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Os critérios de avaliação do Sarimax foram: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RMSE que é raiz do erro quadrático médio; 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 que é o erro médio; 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MAE que é o erro médio absoluto; 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MAPE é o erro de percentual médio absoluta e 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MPE que é o erro percentual médio.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Foi implementado em python o autosarimax para otimizar a busca dos melhores parâmetros (força bruta) utilizando variáveis exógenas e também sem variáveis exógenas, que retorna os 5 melhores resultados conforme os critérios de BIC, AIC e RMSE. O dataframe de treinamento utilizado </w:t>
            </w:r>
            <w:r w:rsidDel="00000000" w:rsidR="00000000" w:rsidRPr="00000000">
              <w:rPr>
                <w:rtl w:val="0"/>
              </w:rPr>
              <w:t xml:space="preserve">os anos de 2018, 2019 e parte de 2020. sendo o dataframe de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teste </w:t>
            </w:r>
            <w:r w:rsidDel="00000000" w:rsidR="00000000" w:rsidRPr="00000000">
              <w:rPr>
                <w:rtl w:val="0"/>
              </w:rPr>
              <w:t xml:space="preserve">10 dias de 2020 durante período crítico da pandemia do Covid 19 no Brasil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 Os resultados obtidos  foram: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 exog: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Neste caso, foram aplicadas as variáveis Covid e Critical Covid como parte do processo de aprendizagem do modelo.</w:t>
            </w:r>
          </w:p>
          <w:p w:rsidR="00000000" w:rsidDel="00000000" w:rsidP="00000000" w:rsidRDefault="00000000" w:rsidRPr="00000000" w14:paraId="0000007E">
            <w:pPr>
              <w:widowControl w:val="0"/>
              <w:spacing w:after="0" w:lineRule="auto"/>
              <w:ind w:left="720" w:firstLine="0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400550" cy="2031493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19957" l="11317" r="17054" t="45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20314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de Treinamento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553200" cy="40386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200" cy="403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de Teste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991225" cy="340042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3400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after="0" w:line="24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Sem exog: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10088" cy="2083091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b="24004" l="11975" r="16640" t="105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088" cy="20830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after="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de Treinamento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553200" cy="2527300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200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de Teste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481638" cy="2868299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638" cy="28682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Avaliamos também um outro método com objetivo de tentar uma relação diferente entre as variáveis exógenas e a variável dependente. 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 redes neurais artificiais (RNA) são estruturas baseadas em neurônios artificiais que possuem comportamento similar à rede de neurônios do cérebro humano. De uma forma resumida, o treinamento de RNA ocorre algumas vezes, esta quantidade é pré </w:t>
            </w:r>
            <w:r w:rsidDel="00000000" w:rsidR="00000000" w:rsidRPr="00000000">
              <w:rPr>
                <w:rtl w:val="0"/>
              </w:rPr>
              <w:t xml:space="preserve">determinada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como um hiperparâmetro chamado “epoch” , a cada repetição do treino um peso é atribuído às variáveis envolvidas. Esse processo  é sempre numa única direção (feed-forward).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 redes neurais recorrentes (RNN) são métodos mais complexos pela capacidade de usar informações obtidas </w:t>
            </w:r>
            <w:r w:rsidDel="00000000" w:rsidR="00000000" w:rsidRPr="00000000">
              <w:rPr>
                <w:rtl w:val="0"/>
              </w:rPr>
              <w:t xml:space="preserve">no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passo anterior durante o treino até que a saída esperada seja gerada.  Para séries temporais está disponível uma arquitetura específica de RNN chamada LSTM (long short-term memory) que é rede neural de curto e longo prazo que usam estruturas chamadas “gates”. A grande vantagem das LSTM é que a informação flui entre diversas camadas o que </w:t>
            </w:r>
            <w:r w:rsidDel="00000000" w:rsidR="00000000" w:rsidRPr="00000000">
              <w:rPr>
                <w:rtl w:val="0"/>
              </w:rPr>
              <w:t xml:space="preserve">facilita a análise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de dados sequenciais.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12529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212529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O problema proposto foi resolvido?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b w:val="1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after="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Podemos notar que ambos os modelos do AutoSarimax retornam resultados razoavelmente satisfatórios na predição de novos valores, todavia, o grupo entende que a melhor combinação entre BIC, AIC e RMSE é o modelo que utilizou de variáveis exógenas no aprendizado e previsão. Desta forma, os parâmetros escolhidos foram de </w:t>
            </w:r>
            <w:r w:rsidDel="00000000" w:rsidR="00000000" w:rsidRPr="00000000">
              <w:rPr>
                <w:b w:val="1"/>
                <w:rtl w:val="0"/>
              </w:rPr>
              <w:t xml:space="preserve">order=(2,1,2) e seasonal_order=(2,0,1,12)</w:t>
            </w:r>
            <w:r w:rsidDel="00000000" w:rsidR="00000000" w:rsidRPr="00000000">
              <w:rPr>
                <w:rtl w:val="0"/>
              </w:rPr>
              <w:t xml:space="preserve"> com as métricas de performance:</w:t>
            </w:r>
          </w:p>
          <w:p w:rsidR="00000000" w:rsidDel="00000000" w:rsidP="00000000" w:rsidRDefault="00000000" w:rsidRPr="00000000" w14:paraId="0000009F">
            <w:pPr>
              <w:widowControl w:val="0"/>
              <w:numPr>
                <w:ilvl w:val="0"/>
                <w:numId w:val="3"/>
              </w:numPr>
              <w:spacing w:after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Treinamento: RMSE 0,68</w:t>
            </w:r>
          </w:p>
          <w:p w:rsidR="00000000" w:rsidDel="00000000" w:rsidP="00000000" w:rsidRDefault="00000000" w:rsidRPr="00000000" w14:paraId="000000A0">
            <w:pPr>
              <w:widowControl w:val="0"/>
              <w:numPr>
                <w:ilvl w:val="0"/>
                <w:numId w:val="3"/>
              </w:numPr>
              <w:spacing w:after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Teste:  RMSE de 0,32 e MAPE 98%.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12529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1252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Conclusão e/ou considerações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Neste estudo para previsão de valores de ações, implementamos o autosarimax para </w:t>
            </w:r>
            <w:r w:rsidDel="00000000" w:rsidR="00000000" w:rsidRPr="00000000">
              <w:rPr>
                <w:rtl w:val="0"/>
              </w:rPr>
              <w:t xml:space="preserve">otimização da força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bruta dos melhores parâmetros de lags, diferenciação e </w:t>
            </w:r>
            <w:r w:rsidDel="00000000" w:rsidR="00000000" w:rsidRPr="00000000">
              <w:rPr>
                <w:rtl w:val="0"/>
              </w:rPr>
              <w:t xml:space="preserve">média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móvel sazonal. Apesar de conseguirmos encontrar os parâmetros ótimos com base no BIC, AIC e RMSE, este método demanda </w:t>
            </w:r>
            <w:r w:rsidDel="00000000" w:rsidR="00000000" w:rsidRPr="00000000">
              <w:rPr>
                <w:rtl w:val="0"/>
              </w:rPr>
              <w:t xml:space="preserve">alto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processamento e consumo de memória, demandando muito tempo de busca.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 citar que nem sempre a melhor RMSE representa o melhor modelo, deve-se encontrar um </w:t>
            </w:r>
            <w:r w:rsidDel="00000000" w:rsidR="00000000" w:rsidRPr="00000000">
              <w:rPr>
                <w:rtl w:val="0"/>
              </w:rPr>
              <w:t xml:space="preserve">equilíbrio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entre as métricas de performance do modelo de acordo com o nosso objetivo.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próxima etapa, o desenvolvimento de uma nova busca por otimização de parâmetros será necessária. Dois métodos iniciais foram identificados: 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Ant Colony Optimization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Genetic Evolution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Desta forma será possível comparar os melhores parâmetros de ordem e ordem sazonal potencializando a otimização e custo computacional.</w:t>
            </w:r>
          </w:p>
        </w:tc>
      </w:tr>
    </w:tbl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720" w:top="765" w:left="720" w:right="720" w:header="708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1">
    <w:pPr>
      <w:keepNext w:val="0"/>
      <w:keepLines w:val="0"/>
      <w:widowControl w:val="1"/>
      <w:pBdr>
        <w:top w:color="4f81bd" w:space="1" w:sz="4" w:val="single"/>
        <w:left w:color="000000" w:space="0" w:sz="0" w:val="none"/>
        <w:bottom w:color="000000" w:space="0" w:sz="0" w:val="none"/>
        <w:right w:color="000000" w:space="0" w:sz="0" w:val="none"/>
        <w:between w:space="0" w:sz="0" w:val="nil"/>
      </w:pBdr>
      <w:shd w:fill="auto" w:val="clear"/>
      <w:spacing w:after="180" w:before="0" w:line="264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1f497d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f497d"/>
        <w:sz w:val="20"/>
        <w:szCs w:val="20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f497d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rPr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keepNext w:val="0"/>
      <w:keepLines w:val="0"/>
      <w:widowControl w:val="1"/>
      <w:pBdr>
        <w:top w:color="000000" w:space="0" w:sz="0" w:val="none"/>
        <w:left w:color="000000" w:space="0" w:sz="0" w:val="none"/>
        <w:bottom w:color="4f81bd" w:space="1" w:sz="4" w:val="single"/>
        <w:right w:color="000000" w:space="0" w:sz="0" w:val="none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1f497d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5483860</wp:posOffset>
          </wp:positionH>
          <wp:positionV relativeFrom="paragraph">
            <wp:posOffset>-74929</wp:posOffset>
          </wp:positionV>
          <wp:extent cx="716280" cy="380365"/>
          <wp:effectExtent b="0" l="0" r="0" t="0"/>
          <wp:wrapSquare wrapText="bothSides" distB="0" distT="0" distL="0" distR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16280" cy="3803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E">
    <w:pPr>
      <w:keepNext w:val="0"/>
      <w:keepLines w:val="0"/>
      <w:widowControl w:val="1"/>
      <w:pBdr>
        <w:top w:color="000000" w:space="0" w:sz="0" w:val="none"/>
        <w:left w:color="000000" w:space="0" w:sz="0" w:val="none"/>
        <w:bottom w:color="4f81bd" w:space="1" w:sz="4" w:val="single"/>
        <w:right w:color="000000" w:space="0" w:sz="0" w:val="none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1f497d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1"/>
        <w:smallCaps w:val="0"/>
        <w:strike w:val="0"/>
        <w:color w:val="1f497d"/>
        <w:sz w:val="24"/>
        <w:szCs w:val="24"/>
        <w:u w:val="none"/>
        <w:shd w:fill="auto" w:val="clear"/>
        <w:vertAlign w:val="baseline"/>
        <w:rtl w:val="0"/>
      </w:rPr>
      <w:t xml:space="preserve">Estudo de caso – Mercado financeiro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3600" w:hanging="360"/>
      </w:pPr>
      <w:rPr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9"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widowControl w:val="1"/>
      <w:suppressAutoHyphens w:val="0"/>
      <w:overflowPunct w:val="0"/>
      <w:bidi w:val="0"/>
      <w:spacing w:after="200" w:before="0" w:line="276" w:lineRule="auto"/>
      <w:ind w:leftChars="-1" w:rightChars="0" w:firstLineChars="-1"/>
      <w:jc w:val="left"/>
      <w:textDirection w:val="btLr"/>
      <w:textAlignment w:val="top"/>
      <w:outlineLvl w:val="0"/>
    </w:pPr>
    <w:rPr>
      <w:rFonts w:ascii="Calibri" w:cs="Tahoma" w:eastAsia="Calibri" w:hAnsi="Calibri"/>
      <w:w w:val="100"/>
      <w:kern w:val="0"/>
      <w:position w:val="-1"/>
      <w:sz w:val="22"/>
      <w:szCs w:val="22"/>
      <w:effect w:val="none"/>
      <w:vertAlign w:val="baseline"/>
      <w:cs w:val="0"/>
      <w:em w:val="none"/>
      <w:lang w:bidi="ar-SA" w:eastAsia="en-US" w:val="pt-BR"/>
    </w:rPr>
  </w:style>
  <w:style w:type="paragraph" w:styleId="Título1">
    <w:name w:val="Título 1"/>
    <w:basedOn w:val="Título"/>
    <w:next w:val="Corpodotexto"/>
    <w:autoRedefine w:val="0"/>
    <w:hidden w:val="0"/>
    <w:qFormat w:val="0"/>
    <w:pPr>
      <w:keepNext w:val="1"/>
      <w:widowControl w:val="1"/>
      <w:numPr>
        <w:ilvl w:val="0"/>
        <w:numId w:val="1"/>
      </w:numPr>
      <w:suppressAutoHyphens w:val="0"/>
      <w:overflowPunct w:val="0"/>
      <w:bidi w:val="0"/>
      <w:spacing w:after="120" w:before="240" w:line="276" w:lineRule="auto"/>
      <w:ind w:leftChars="-1" w:rightChars="0" w:firstLineChars="-1"/>
      <w:jc w:val="left"/>
      <w:textDirection w:val="btLr"/>
      <w:textAlignment w:val="top"/>
      <w:outlineLvl w:val="0"/>
    </w:pPr>
    <w:rPr>
      <w:rFonts w:ascii="Liberation Serif" w:cs="Tahoma" w:eastAsia="Segoe UI" w:hAnsi="Liberation Serif"/>
      <w:b w:val="1"/>
      <w:bCs w:val="1"/>
      <w:w w:val="100"/>
      <w:kern w:val="0"/>
      <w:position w:val="-1"/>
      <w:sz w:val="48"/>
      <w:szCs w:val="48"/>
      <w:effect w:val="none"/>
      <w:vertAlign w:val="baseline"/>
      <w:cs w:val="0"/>
      <w:em w:val="none"/>
      <w:lang w:bidi="ar-SA" w:eastAsia="en-US" w:val="pt-BR"/>
    </w:rPr>
  </w:style>
  <w:style w:type="paragraph" w:styleId="Título3">
    <w:name w:val="Título 3"/>
    <w:basedOn w:val="Título"/>
    <w:next w:val="Corpodotexto"/>
    <w:autoRedefine w:val="0"/>
    <w:hidden w:val="0"/>
    <w:qFormat w:val="0"/>
    <w:pPr>
      <w:keepNext w:val="1"/>
      <w:widowControl w:val="1"/>
      <w:numPr>
        <w:ilvl w:val="2"/>
        <w:numId w:val="1"/>
      </w:numPr>
      <w:suppressAutoHyphens w:val="0"/>
      <w:overflowPunct w:val="0"/>
      <w:bidi w:val="0"/>
      <w:spacing w:after="120" w:before="140" w:line="276" w:lineRule="auto"/>
      <w:ind w:leftChars="-1" w:rightChars="0" w:firstLineChars="-1"/>
      <w:jc w:val="left"/>
      <w:textDirection w:val="btLr"/>
      <w:textAlignment w:val="top"/>
      <w:outlineLvl w:val="2"/>
    </w:pPr>
    <w:rPr>
      <w:rFonts w:ascii="Liberation Serif" w:cs="Tahoma" w:eastAsia="Segoe UI" w:hAnsi="Liberation Serif"/>
      <w:b w:val="1"/>
      <w:bCs w:val="1"/>
      <w:w w:val="100"/>
      <w:kern w:val="0"/>
      <w:position w:val="-1"/>
      <w:sz w:val="28"/>
      <w:szCs w:val="28"/>
      <w:effect w:val="none"/>
      <w:vertAlign w:val="baseline"/>
      <w:cs w:val="0"/>
      <w:em w:val="none"/>
      <w:lang w:bidi="ar-SA" w:eastAsia="en-US" w:val="pt-BR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HeaderChar">
    <w:name w:val="Header Char"/>
    <w:basedOn w:val="DefaultParagraphFont"/>
    <w:next w:val="Header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FooterChar">
    <w:name w:val="Footer Char"/>
    <w:basedOn w:val="DefaultParagraphFont"/>
    <w:next w:val="Footer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BalloonTextChar">
    <w:name w:val="Balloon Text Char"/>
    <w:basedOn w:val="DefaultParagraphFont"/>
    <w:next w:val="BalloonTextCh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character" w:styleId="LinkdaInternet">
    <w:name w:val="Link da Internet"/>
    <w:basedOn w:val="DefaultParagraphFont"/>
    <w:next w:val="LinkdaInternet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fontstyle01">
    <w:name w:val="fontstyle01"/>
    <w:basedOn w:val="DefaultParagraphFont"/>
    <w:next w:val="fontstyle01"/>
    <w:autoRedefine w:val="0"/>
    <w:hidden w:val="0"/>
    <w:qFormat w:val="0"/>
    <w:rPr>
      <w:rFonts w:ascii="LiberationSerif" w:hAnsi="LiberationSerif"/>
      <w:b w:val="0"/>
      <w:bCs w:val="0"/>
      <w:i w:val="0"/>
      <w:iCs w:val="0"/>
      <w:color w:val="000000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Bullets">
    <w:name w:val="Bullets"/>
    <w:next w:val="Bullets"/>
    <w:autoRedefine w:val="0"/>
    <w:hidden w:val="0"/>
    <w:qFormat w:val="0"/>
    <w:rPr>
      <w:rFonts w:ascii="OpenSymbol" w:cs="OpenSymbol" w:eastAsia="OpenSymbol" w:hAnsi="OpenSymbol"/>
      <w:w w:val="100"/>
      <w:position w:val="-1"/>
      <w:effect w:val="none"/>
      <w:vertAlign w:val="baseline"/>
      <w:cs w:val="0"/>
      <w:em w:val="none"/>
      <w:lang/>
    </w:rPr>
  </w:style>
  <w:style w:type="character" w:styleId="Símbolosdenumeração">
    <w:name w:val="Símbolos de numeração"/>
    <w:next w:val="Símbolosdenumeraç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1">
    <w:name w:val="ListLabel 1"/>
    <w:next w:val="ListLabel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2">
    <w:name w:val="ListLabel 2"/>
    <w:next w:val="ListLabel2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3">
    <w:name w:val="ListLabel 3"/>
    <w:next w:val="ListLabel3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4">
    <w:name w:val="ListLabel 4"/>
    <w:next w:val="ListLabel4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5">
    <w:name w:val="ListLabel 5"/>
    <w:next w:val="ListLabel5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6">
    <w:name w:val="ListLabel 6"/>
    <w:next w:val="ListLabel6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7">
    <w:name w:val="ListLabel 7"/>
    <w:next w:val="ListLabel7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8">
    <w:name w:val="ListLabel 8"/>
    <w:next w:val="ListLabel8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9">
    <w:name w:val="ListLabel 9"/>
    <w:next w:val="ListLabel9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10">
    <w:name w:val="ListLabel 10"/>
    <w:next w:val="ListLabel10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11">
    <w:name w:val="ListLabel 11"/>
    <w:next w:val="ListLabel1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12">
    <w:name w:val="ListLabel 12"/>
    <w:next w:val="ListLabel12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13">
    <w:name w:val="ListLabel 13"/>
    <w:next w:val="ListLabel13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14">
    <w:name w:val="ListLabel 14"/>
    <w:next w:val="ListLabel14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15">
    <w:name w:val="ListLabel 15"/>
    <w:next w:val="ListLabel15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16">
    <w:name w:val="ListLabel 16"/>
    <w:next w:val="ListLabel16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17">
    <w:name w:val="ListLabel 17"/>
    <w:next w:val="ListLabel17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18">
    <w:name w:val="ListLabel 18"/>
    <w:next w:val="ListLabel18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19">
    <w:name w:val="ListLabel 19"/>
    <w:next w:val="ListLabel19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20">
    <w:name w:val="ListLabel 20"/>
    <w:next w:val="ListLabel20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21">
    <w:name w:val="ListLabel 21"/>
    <w:next w:val="ListLabel2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22">
    <w:name w:val="ListLabel 22"/>
    <w:next w:val="ListLabel22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23">
    <w:name w:val="ListLabel 23"/>
    <w:next w:val="ListLabel23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24">
    <w:name w:val="ListLabel 24"/>
    <w:next w:val="ListLabel24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25">
    <w:name w:val="ListLabel 25"/>
    <w:next w:val="ListLabel25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26">
    <w:name w:val="ListLabel 26"/>
    <w:next w:val="ListLabel26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27">
    <w:name w:val="ListLabel 27"/>
    <w:next w:val="ListLabel27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28">
    <w:name w:val="ListLabel 28"/>
    <w:next w:val="ListLabel28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29">
    <w:name w:val="ListLabel 29"/>
    <w:next w:val="ListLabel29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30">
    <w:name w:val="ListLabel 30"/>
    <w:next w:val="ListLabel30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31">
    <w:name w:val="ListLabel 31"/>
    <w:next w:val="ListLabel3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32">
    <w:name w:val="ListLabel 32"/>
    <w:next w:val="ListLabel32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33">
    <w:name w:val="ListLabel 33"/>
    <w:next w:val="ListLabel33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34">
    <w:name w:val="ListLabel 34"/>
    <w:next w:val="ListLabel34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35">
    <w:name w:val="ListLabel 35"/>
    <w:next w:val="ListLabel35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ListLabel36">
    <w:name w:val="ListLabel 36"/>
    <w:next w:val="ListLabel36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Marcas">
    <w:name w:val="Marcas"/>
    <w:next w:val="Marcas"/>
    <w:autoRedefine w:val="0"/>
    <w:hidden w:val="0"/>
    <w:qFormat w:val="0"/>
    <w:rPr>
      <w:rFonts w:ascii="OpenSymbol" w:cs="OpenSymbol" w:eastAsia="OpenSymbol" w:hAnsi="OpenSymbol"/>
      <w:w w:val="100"/>
      <w:position w:val="-1"/>
      <w:effect w:val="none"/>
      <w:vertAlign w:val="baseline"/>
      <w:cs w:val="0"/>
      <w:em w:val="none"/>
      <w:lang/>
    </w:rPr>
  </w:style>
  <w:style w:type="paragraph" w:styleId="Título">
    <w:name w:val="Título"/>
    <w:basedOn w:val="Normal"/>
    <w:next w:val="Corpodotexto"/>
    <w:autoRedefine w:val="0"/>
    <w:hidden w:val="0"/>
    <w:qFormat w:val="0"/>
    <w:pPr>
      <w:keepNext w:val="1"/>
      <w:widowControl w:val="1"/>
      <w:suppressAutoHyphens w:val="0"/>
      <w:overflowPunct w:val="0"/>
      <w:bidi w:val="0"/>
      <w:spacing w:after="120" w:before="240" w:line="276" w:lineRule="auto"/>
      <w:ind w:leftChars="-1" w:rightChars="0" w:firstLineChars="-1"/>
      <w:jc w:val="left"/>
      <w:textDirection w:val="btLr"/>
      <w:textAlignment w:val="top"/>
      <w:outlineLvl w:val="0"/>
    </w:pPr>
    <w:rPr>
      <w:rFonts w:ascii="Liberation Sans" w:cs="Lucida Sans" w:eastAsia="Microsoft YaHei" w:hAnsi="Liberation Sans"/>
      <w:w w:val="100"/>
      <w:kern w:val="0"/>
      <w:position w:val="-1"/>
      <w:sz w:val="28"/>
      <w:szCs w:val="28"/>
      <w:effect w:val="none"/>
      <w:vertAlign w:val="baseline"/>
      <w:cs w:val="0"/>
      <w:em w:val="none"/>
      <w:lang w:bidi="ar-SA" w:eastAsia="en-US" w:val="pt-BR"/>
    </w:rPr>
  </w:style>
  <w:style w:type="paragraph" w:styleId="Corpodotexto">
    <w:name w:val="Corpo do texto"/>
    <w:basedOn w:val="Normal"/>
    <w:next w:val="Corpodotexto"/>
    <w:autoRedefine w:val="0"/>
    <w:hidden w:val="0"/>
    <w:qFormat w:val="0"/>
    <w:pPr>
      <w:widowControl w:val="1"/>
      <w:suppressAutoHyphens w:val="0"/>
      <w:overflowPunct w:val="0"/>
      <w:bidi w:val="0"/>
      <w:spacing w:after="140" w:before="0" w:line="276" w:lineRule="auto"/>
      <w:ind w:leftChars="-1" w:rightChars="0" w:firstLineChars="-1"/>
      <w:jc w:val="left"/>
      <w:textDirection w:val="btLr"/>
      <w:textAlignment w:val="top"/>
      <w:outlineLvl w:val="0"/>
    </w:pPr>
    <w:rPr>
      <w:rFonts w:ascii="Calibri" w:cs="Tahoma" w:eastAsia="Calibri" w:hAnsi="Calibri"/>
      <w:w w:val="100"/>
      <w:kern w:val="0"/>
      <w:position w:val="-1"/>
      <w:sz w:val="22"/>
      <w:szCs w:val="22"/>
      <w:effect w:val="none"/>
      <w:vertAlign w:val="baseline"/>
      <w:cs w:val="0"/>
      <w:em w:val="none"/>
      <w:lang w:bidi="ar-SA" w:eastAsia="en-US" w:val="pt-BR"/>
    </w:rPr>
  </w:style>
  <w:style w:type="paragraph" w:styleId="Lista">
    <w:name w:val="Lista"/>
    <w:basedOn w:val="Corpodotexto"/>
    <w:next w:val="Lista"/>
    <w:autoRedefine w:val="0"/>
    <w:hidden w:val="0"/>
    <w:qFormat w:val="0"/>
    <w:pPr>
      <w:widowControl w:val="1"/>
      <w:suppressAutoHyphens w:val="0"/>
      <w:overflowPunct w:val="0"/>
      <w:bidi w:val="0"/>
      <w:spacing w:after="140" w:before="0" w:line="276" w:lineRule="auto"/>
      <w:ind w:leftChars="-1" w:rightChars="0" w:firstLineChars="-1"/>
      <w:jc w:val="left"/>
      <w:textDirection w:val="btLr"/>
      <w:textAlignment w:val="top"/>
      <w:outlineLvl w:val="0"/>
    </w:pPr>
    <w:rPr>
      <w:rFonts w:ascii="Calibri" w:cs="Lucida Sans" w:eastAsia="Calibri" w:hAnsi="Calibri"/>
      <w:w w:val="100"/>
      <w:kern w:val="0"/>
      <w:position w:val="-1"/>
      <w:sz w:val="22"/>
      <w:szCs w:val="22"/>
      <w:effect w:val="none"/>
      <w:vertAlign w:val="baseline"/>
      <w:cs w:val="0"/>
      <w:em w:val="none"/>
      <w:lang w:bidi="ar-SA" w:eastAsia="en-US" w:val="pt-BR"/>
    </w:rPr>
  </w:style>
  <w:style w:type="paragraph" w:styleId="Legenda">
    <w:name w:val="Legenda"/>
    <w:basedOn w:val="Normal"/>
    <w:next w:val="Legenda"/>
    <w:autoRedefine w:val="0"/>
    <w:hidden w:val="0"/>
    <w:qFormat w:val="0"/>
    <w:pPr>
      <w:widowControl w:val="1"/>
      <w:suppressLineNumbers w:val="1"/>
      <w:suppressAutoHyphens w:val="0"/>
      <w:overflowPunct w:val="0"/>
      <w:bidi w:val="0"/>
      <w:spacing w:after="120" w:before="120" w:line="276" w:lineRule="auto"/>
      <w:ind w:leftChars="-1" w:rightChars="0" w:firstLineChars="-1"/>
      <w:jc w:val="left"/>
      <w:textDirection w:val="btLr"/>
      <w:textAlignment w:val="top"/>
      <w:outlineLvl w:val="0"/>
    </w:pPr>
    <w:rPr>
      <w:rFonts w:ascii="Calibri" w:cs="Lucida Sans" w:eastAsia="Calibri" w:hAnsi="Calibri"/>
      <w:i w:val="1"/>
      <w:iCs w:val="1"/>
      <w:w w:val="100"/>
      <w:kern w:val="0"/>
      <w:position w:val="-1"/>
      <w:sz w:val="24"/>
      <w:szCs w:val="24"/>
      <w:effect w:val="none"/>
      <w:vertAlign w:val="baseline"/>
      <w:cs w:val="0"/>
      <w:em w:val="none"/>
      <w:lang w:bidi="ar-SA" w:eastAsia="en-US" w:val="pt-BR"/>
    </w:rPr>
  </w:style>
  <w:style w:type="paragraph" w:styleId="Índice">
    <w:name w:val="Índice"/>
    <w:basedOn w:val="Normal"/>
    <w:next w:val="Índice"/>
    <w:autoRedefine w:val="0"/>
    <w:hidden w:val="0"/>
    <w:qFormat w:val="0"/>
    <w:pPr>
      <w:widowControl w:val="1"/>
      <w:suppressLineNumbers w:val="1"/>
      <w:suppressAutoHyphens w:val="0"/>
      <w:overflowPunct w:val="0"/>
      <w:bidi w:val="0"/>
      <w:spacing w:after="200" w:before="0" w:line="276" w:lineRule="auto"/>
      <w:ind w:leftChars="-1" w:rightChars="0" w:firstLineChars="-1"/>
      <w:jc w:val="left"/>
      <w:textDirection w:val="btLr"/>
      <w:textAlignment w:val="top"/>
      <w:outlineLvl w:val="0"/>
    </w:pPr>
    <w:rPr>
      <w:rFonts w:ascii="Calibri" w:cs="Lucida Sans" w:eastAsia="Calibri" w:hAnsi="Calibri"/>
      <w:w w:val="100"/>
      <w:kern w:val="0"/>
      <w:position w:val="-1"/>
      <w:sz w:val="22"/>
      <w:szCs w:val="22"/>
      <w:effect w:val="none"/>
      <w:vertAlign w:val="baseline"/>
      <w:cs w:val="0"/>
      <w:em w:val="none"/>
      <w:lang w:bidi="ar-SA" w:eastAsia="en-US" w:val="pt-BR"/>
    </w:rPr>
  </w:style>
  <w:style w:type="paragraph" w:styleId="CabeçalhoeRodapé">
    <w:name w:val="Cabeçalho e Rodapé"/>
    <w:basedOn w:val="Normal"/>
    <w:next w:val="CabeçalhoeRodapé"/>
    <w:autoRedefine w:val="0"/>
    <w:hidden w:val="0"/>
    <w:qFormat w:val="0"/>
    <w:pPr>
      <w:widowControl w:val="1"/>
      <w:suppressAutoHyphens w:val="0"/>
      <w:overflowPunct w:val="0"/>
      <w:bidi w:val="0"/>
      <w:spacing w:after="200" w:before="0" w:line="276" w:lineRule="auto"/>
      <w:ind w:leftChars="-1" w:rightChars="0" w:firstLineChars="-1"/>
      <w:jc w:val="left"/>
      <w:textDirection w:val="btLr"/>
      <w:textAlignment w:val="top"/>
      <w:outlineLvl w:val="0"/>
    </w:pPr>
    <w:rPr>
      <w:rFonts w:ascii="Calibri" w:cs="Tahoma" w:eastAsia="Calibri" w:hAnsi="Calibri"/>
      <w:w w:val="100"/>
      <w:kern w:val="0"/>
      <w:position w:val="-1"/>
      <w:sz w:val="22"/>
      <w:szCs w:val="22"/>
      <w:effect w:val="none"/>
      <w:vertAlign w:val="baseline"/>
      <w:cs w:val="0"/>
      <w:em w:val="none"/>
      <w:lang w:bidi="ar-SA" w:eastAsia="en-US" w:val="pt-BR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widowControl w:val="1"/>
      <w:tabs>
        <w:tab w:val="center" w:leader="none" w:pos="4252"/>
        <w:tab w:val="right" w:leader="none" w:pos="8504"/>
      </w:tabs>
      <w:suppressAutoHyphens w:val="0"/>
      <w:overflowPunct w:val="0"/>
      <w:bidi w:val="0"/>
      <w:spacing w:after="0" w:before="0" w:line="240" w:lineRule="auto"/>
      <w:ind w:leftChars="-1" w:rightChars="0" w:firstLineChars="-1"/>
      <w:jc w:val="left"/>
      <w:textDirection w:val="btLr"/>
      <w:textAlignment w:val="top"/>
      <w:outlineLvl w:val="0"/>
    </w:pPr>
    <w:rPr>
      <w:rFonts w:ascii="Calibri" w:cs="Tahoma" w:eastAsia="Calibri" w:hAnsi="Calibri"/>
      <w:w w:val="100"/>
      <w:kern w:val="0"/>
      <w:position w:val="-1"/>
      <w:sz w:val="22"/>
      <w:szCs w:val="22"/>
      <w:effect w:val="none"/>
      <w:vertAlign w:val="baseline"/>
      <w:cs w:val="0"/>
      <w:em w:val="none"/>
      <w:lang w:bidi="ar-SA" w:eastAsia="en-US" w:val="pt-BR"/>
    </w:rPr>
  </w:style>
  <w:style w:type="paragraph" w:styleId="Rodapé">
    <w:name w:val="Rodapé"/>
    <w:basedOn w:val="Normal"/>
    <w:next w:val="Rodapé"/>
    <w:autoRedefine w:val="0"/>
    <w:hidden w:val="0"/>
    <w:qFormat w:val="0"/>
    <w:pPr>
      <w:widowControl w:val="1"/>
      <w:tabs>
        <w:tab w:val="center" w:leader="none" w:pos="4252"/>
        <w:tab w:val="right" w:leader="none" w:pos="8504"/>
      </w:tabs>
      <w:suppressAutoHyphens w:val="0"/>
      <w:overflowPunct w:val="0"/>
      <w:bidi w:val="0"/>
      <w:spacing w:after="0" w:before="0" w:line="240" w:lineRule="auto"/>
      <w:ind w:leftChars="-1" w:rightChars="0" w:firstLineChars="-1"/>
      <w:jc w:val="left"/>
      <w:textDirection w:val="btLr"/>
      <w:textAlignment w:val="top"/>
      <w:outlineLvl w:val="0"/>
    </w:pPr>
    <w:rPr>
      <w:rFonts w:ascii="Calibri" w:cs="Tahoma" w:eastAsia="Calibri" w:hAnsi="Calibri"/>
      <w:w w:val="100"/>
      <w:kern w:val="0"/>
      <w:position w:val="-1"/>
      <w:sz w:val="22"/>
      <w:szCs w:val="22"/>
      <w:effect w:val="none"/>
      <w:vertAlign w:val="baseline"/>
      <w:cs w:val="0"/>
      <w:em w:val="none"/>
      <w:lang w:bidi="ar-SA" w:eastAsia="en-US" w:val="pt-BR"/>
    </w:rPr>
  </w:style>
  <w:style w:type="paragraph" w:styleId="BalloonText">
    <w:name w:val="Balloon Text"/>
    <w:basedOn w:val="Normal"/>
    <w:next w:val="BalloonText"/>
    <w:autoRedefine w:val="0"/>
    <w:hidden w:val="0"/>
    <w:qFormat w:val="0"/>
    <w:pPr>
      <w:widowControl w:val="1"/>
      <w:suppressAutoHyphens w:val="0"/>
      <w:overflowPunct w:val="0"/>
      <w:bidi w:val="0"/>
      <w:spacing w:after="0" w:before="0" w:line="240" w:lineRule="auto"/>
      <w:ind w:leftChars="-1" w:rightChars="0" w:firstLineChars="-1"/>
      <w:jc w:val="left"/>
      <w:textDirection w:val="btLr"/>
      <w:textAlignment w:val="top"/>
      <w:outlineLvl w:val="0"/>
    </w:pPr>
    <w:rPr>
      <w:rFonts w:ascii="Tahoma" w:cs="Tahoma" w:eastAsia="Calibri" w:hAnsi="Tahoma"/>
      <w:w w:val="100"/>
      <w:kern w:val="0"/>
      <w:position w:val="-1"/>
      <w:sz w:val="16"/>
      <w:szCs w:val="16"/>
      <w:effect w:val="none"/>
      <w:vertAlign w:val="baseline"/>
      <w:cs w:val="0"/>
      <w:em w:val="none"/>
      <w:lang w:bidi="ar-SA" w:eastAsia="en-US" w:val="pt-BR"/>
    </w:rPr>
  </w:style>
  <w:style w:type="paragraph" w:styleId="HeaderEven">
    <w:name w:val="Header Even"/>
    <w:basedOn w:val="NoSpacing"/>
    <w:next w:val="HeaderEven"/>
    <w:autoRedefine w:val="0"/>
    <w:hidden w:val="0"/>
    <w:qFormat w:val="0"/>
    <w:pPr>
      <w:widowControl w:val="1"/>
      <w:pBdr>
        <w:top w:color="000000" w:space="0" w:sz="0" w:val="none"/>
        <w:left w:color="000000" w:space="0" w:sz="0" w:val="none"/>
        <w:bottom w:color="4f81bd" w:space="1" w:sz="4" w:val="single"/>
        <w:right w:color="000000" w:space="0" w:sz="0" w:val="none"/>
      </w:pBdr>
      <w:suppressAutoHyphens w:val="0"/>
      <w:overflowPunct w:val="0"/>
      <w:bidi w:val="0"/>
      <w:spacing w:after="0" w:before="0" w:line="240" w:lineRule="auto"/>
      <w:ind w:leftChars="-1" w:rightChars="0" w:firstLineChars="-1"/>
      <w:jc w:val="left"/>
      <w:textDirection w:val="btLr"/>
      <w:textAlignment w:val="top"/>
      <w:outlineLvl w:val="0"/>
    </w:pPr>
    <w:rPr>
      <w:rFonts w:ascii="Calibri" w:cs="Tahoma" w:eastAsia="Calibri" w:hAnsi="Calibri"/>
      <w:b w:val="1"/>
      <w:bCs w:val="1"/>
      <w:color w:val="1f497d"/>
      <w:w w:val="100"/>
      <w:kern w:val="0"/>
      <w:position w:val="-1"/>
      <w:sz w:val="20"/>
      <w:szCs w:val="23"/>
      <w:effect w:val="none"/>
      <w:vertAlign w:val="baseline"/>
      <w:cs w:val="0"/>
      <w:em w:val="none"/>
      <w:lang w:bidi="ar-SA" w:eastAsia="fr-FR" w:val="pt-BR"/>
    </w:rPr>
  </w:style>
  <w:style w:type="paragraph" w:styleId="NoSpacing">
    <w:name w:val="No Spacing"/>
    <w:next w:val="NoSpacing"/>
    <w:autoRedefine w:val="0"/>
    <w:hidden w:val="0"/>
    <w:qFormat w:val="0"/>
    <w:pPr>
      <w:widowControl w:val="1"/>
      <w:suppressAutoHyphens w:val="0"/>
      <w:overflowPunct w:val="0"/>
      <w:bidi w:val="0"/>
      <w:spacing w:after="0" w:before="0" w:line="240" w:lineRule="auto"/>
      <w:ind w:leftChars="-1" w:rightChars="0" w:firstLineChars="-1"/>
      <w:jc w:val="left"/>
      <w:textDirection w:val="btLr"/>
      <w:textAlignment w:val="top"/>
      <w:outlineLvl w:val="0"/>
    </w:pPr>
    <w:rPr>
      <w:rFonts w:ascii="Calibri" w:cs="Tahoma" w:eastAsia="Calibri" w:hAnsi="Calibri"/>
      <w:w w:val="100"/>
      <w:kern w:val="0"/>
      <w:position w:val="-1"/>
      <w:sz w:val="22"/>
      <w:szCs w:val="22"/>
      <w:effect w:val="none"/>
      <w:vertAlign w:val="baseline"/>
      <w:cs w:val="0"/>
      <w:em w:val="none"/>
      <w:lang w:bidi="ar-SA" w:eastAsia="en-US" w:val="pt-BR"/>
    </w:rPr>
  </w:style>
  <w:style w:type="paragraph" w:styleId="FooterOdd">
    <w:name w:val="Footer Odd"/>
    <w:basedOn w:val="Normal"/>
    <w:next w:val="FooterOdd"/>
    <w:autoRedefine w:val="0"/>
    <w:hidden w:val="0"/>
    <w:qFormat w:val="0"/>
    <w:pPr>
      <w:widowControl w:val="1"/>
      <w:pBdr>
        <w:top w:color="4f81bd" w:space="1" w:sz="4" w:val="single"/>
        <w:left w:color="000000" w:space="0" w:sz="0" w:val="none"/>
        <w:bottom w:color="000000" w:space="0" w:sz="0" w:val="none"/>
        <w:right w:color="000000" w:space="0" w:sz="0" w:val="none"/>
      </w:pBdr>
      <w:suppressAutoHyphens w:val="0"/>
      <w:overflowPunct w:val="0"/>
      <w:bidi w:val="0"/>
      <w:spacing w:after="180" w:before="0" w:line="264" w:lineRule="auto"/>
      <w:ind w:leftChars="-1" w:rightChars="0" w:firstLineChars="-1"/>
      <w:jc w:val="right"/>
      <w:textDirection w:val="btLr"/>
      <w:textAlignment w:val="top"/>
      <w:outlineLvl w:val="0"/>
    </w:pPr>
    <w:rPr>
      <w:rFonts w:ascii="Calibri" w:cs="Tahoma" w:eastAsia="Calibri" w:hAnsi="Calibri"/>
      <w:color w:val="1f497d"/>
      <w:w w:val="100"/>
      <w:kern w:val="0"/>
      <w:position w:val="-1"/>
      <w:sz w:val="20"/>
      <w:szCs w:val="23"/>
      <w:effect w:val="none"/>
      <w:vertAlign w:val="baseline"/>
      <w:cs w:val="0"/>
      <w:em w:val="none"/>
      <w:lang w:bidi="ar-SA" w:eastAsia="fr-FR" w:val="pt-BR"/>
    </w:rPr>
  </w:style>
  <w:style w:type="paragraph" w:styleId="ListParagraph">
    <w:name w:val="List Paragraph"/>
    <w:basedOn w:val="Normal"/>
    <w:next w:val="ListParagraph"/>
    <w:autoRedefine w:val="0"/>
    <w:hidden w:val="0"/>
    <w:qFormat w:val="0"/>
    <w:pPr>
      <w:widowControl w:val="1"/>
      <w:suppressAutoHyphens w:val="0"/>
      <w:overflowPunct w:val="0"/>
      <w:bidi w:val="0"/>
      <w:spacing w:after="200" w:before="0" w:line="276" w:lineRule="auto"/>
      <w:ind w:left="720" w:right="0" w:leftChars="-1" w:rightChars="0" w:firstLine="0" w:firstLineChars="-1"/>
      <w:contextualSpacing w:val="1"/>
      <w:jc w:val="left"/>
      <w:textDirection w:val="btLr"/>
      <w:textAlignment w:val="top"/>
      <w:outlineLvl w:val="0"/>
    </w:pPr>
    <w:rPr>
      <w:rFonts w:ascii="Calibri" w:cs="Tahoma" w:eastAsia="Calibri" w:hAnsi="Calibri"/>
      <w:w w:val="100"/>
      <w:kern w:val="0"/>
      <w:position w:val="-1"/>
      <w:sz w:val="22"/>
      <w:szCs w:val="22"/>
      <w:effect w:val="none"/>
      <w:vertAlign w:val="baseline"/>
      <w:cs w:val="0"/>
      <w:em w:val="none"/>
      <w:lang w:bidi="ar-SA" w:eastAsia="en-US" w:val="pt-BR"/>
    </w:rPr>
  </w:style>
  <w:style w:type="paragraph" w:styleId="Default">
    <w:name w:val="Default"/>
    <w:next w:val="Default"/>
    <w:autoRedefine w:val="0"/>
    <w:hidden w:val="0"/>
    <w:qFormat w:val="0"/>
    <w:pPr>
      <w:widowControl w:val="1"/>
      <w:suppressAutoHyphens w:val="0"/>
      <w:overflowPunct w:val="0"/>
      <w:bidi w:val="0"/>
      <w:spacing w:after="0" w:before="0" w:line="240" w:lineRule="auto"/>
      <w:ind w:leftChars="-1" w:rightChars="0" w:firstLineChars="-1"/>
      <w:jc w:val="left"/>
      <w:textDirection w:val="btLr"/>
      <w:textAlignment w:val="top"/>
      <w:outlineLvl w:val="0"/>
    </w:pPr>
    <w:rPr>
      <w:rFonts w:ascii="Arial" w:cs="Arial" w:eastAsia="Calibri" w:hAnsi="Arial"/>
      <w:color w:val="000000"/>
      <w:w w:val="100"/>
      <w:kern w:val="0"/>
      <w:position w:val="-1"/>
      <w:sz w:val="24"/>
      <w:szCs w:val="24"/>
      <w:effect w:val="none"/>
      <w:vertAlign w:val="baseline"/>
      <w:cs w:val="0"/>
      <w:em w:val="none"/>
      <w:lang w:bidi="ar-SA" w:eastAsia="en-US" w:val="pt-BR"/>
    </w:rPr>
  </w:style>
  <w:style w:type="paragraph" w:styleId="Conteúdodatabela">
    <w:name w:val="Conteúdo da tabela"/>
    <w:basedOn w:val="Normal"/>
    <w:next w:val="Conteúdodatabela"/>
    <w:autoRedefine w:val="0"/>
    <w:hidden w:val="0"/>
    <w:qFormat w:val="0"/>
    <w:pPr>
      <w:widowControl w:val="1"/>
      <w:suppressLineNumbers w:val="1"/>
      <w:suppressAutoHyphens w:val="0"/>
      <w:overflowPunct w:val="0"/>
      <w:bidi w:val="0"/>
      <w:spacing w:after="200" w:before="0" w:line="276" w:lineRule="auto"/>
      <w:ind w:leftChars="-1" w:rightChars="0" w:firstLineChars="-1"/>
      <w:jc w:val="left"/>
      <w:textDirection w:val="btLr"/>
      <w:textAlignment w:val="top"/>
      <w:outlineLvl w:val="0"/>
    </w:pPr>
    <w:rPr>
      <w:rFonts w:ascii="Calibri" w:cs="Tahoma" w:eastAsia="Calibri" w:hAnsi="Calibri"/>
      <w:w w:val="100"/>
      <w:kern w:val="0"/>
      <w:position w:val="-1"/>
      <w:sz w:val="22"/>
      <w:szCs w:val="22"/>
      <w:effect w:val="none"/>
      <w:vertAlign w:val="baseline"/>
      <w:cs w:val="0"/>
      <w:em w:val="none"/>
      <w:lang w:bidi="ar-SA" w:eastAsia="en-US" w:val="pt-BR"/>
    </w:rPr>
  </w:style>
  <w:style w:type="paragraph" w:styleId="Títulodetabela">
    <w:name w:val="Título de tabela"/>
    <w:basedOn w:val="Conteúdodatabela"/>
    <w:next w:val="Títulodetabela"/>
    <w:autoRedefine w:val="0"/>
    <w:hidden w:val="0"/>
    <w:qFormat w:val="0"/>
    <w:pPr>
      <w:widowControl w:val="1"/>
      <w:suppressLineNumbers w:val="1"/>
      <w:suppressAutoHyphens w:val="0"/>
      <w:overflowPunct w:val="0"/>
      <w:bidi w:val="0"/>
      <w:spacing w:after="200" w:before="0" w:line="276" w:lineRule="auto"/>
      <w:ind w:leftChars="-1" w:rightChars="0" w:firstLineChars="-1"/>
      <w:jc w:val="center"/>
      <w:textDirection w:val="btLr"/>
      <w:textAlignment w:val="top"/>
      <w:outlineLvl w:val="0"/>
    </w:pPr>
    <w:rPr>
      <w:rFonts w:ascii="Calibri" w:cs="Tahoma" w:eastAsia="Calibri" w:hAnsi="Calibri"/>
      <w:b w:val="1"/>
      <w:bCs w:val="1"/>
      <w:w w:val="100"/>
      <w:kern w:val="0"/>
      <w:position w:val="-1"/>
      <w:sz w:val="22"/>
      <w:szCs w:val="22"/>
      <w:effect w:val="none"/>
      <w:vertAlign w:val="baseline"/>
      <w:cs w:val="0"/>
      <w:em w:val="none"/>
      <w:lang w:bidi="ar-SA" w:eastAsia="en-US" w:val="pt-BR"/>
    </w:rPr>
  </w:style>
  <w:style w:type="paragraph" w:styleId="Textopréformatado">
    <w:name w:val="Texto préformatado"/>
    <w:basedOn w:val="Normal"/>
    <w:next w:val="Textopréformatado"/>
    <w:autoRedefine w:val="0"/>
    <w:hidden w:val="0"/>
    <w:qFormat w:val="0"/>
    <w:pPr>
      <w:widowControl w:val="1"/>
      <w:suppressAutoHyphens w:val="0"/>
      <w:overflowPunct w:val="0"/>
      <w:bidi w:val="0"/>
      <w:spacing w:after="0" w:before="0" w:line="276" w:lineRule="auto"/>
      <w:ind w:leftChars="-1" w:rightChars="0" w:firstLineChars="-1"/>
      <w:jc w:val="left"/>
      <w:textDirection w:val="btLr"/>
      <w:textAlignment w:val="top"/>
      <w:outlineLvl w:val="0"/>
    </w:pPr>
    <w:rPr>
      <w:rFonts w:ascii="Liberation Mono" w:cs="Liberation Mono" w:eastAsia="Liberation Mono" w:hAnsi="Liberation Mono"/>
      <w:w w:val="100"/>
      <w:kern w:val="0"/>
      <w:position w:val="-1"/>
      <w:sz w:val="20"/>
      <w:szCs w:val="20"/>
      <w:effect w:val="none"/>
      <w:vertAlign w:val="baseline"/>
      <w:cs w:val="0"/>
      <w:em w:val="none"/>
      <w:lang w:bidi="ar-SA" w:eastAsia="en-US" w:val="pt-B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0.0" w:type="dxa"/>
        <w:left w:w="50.0" w:type="dxa"/>
        <w:bottom w:w="50.0" w:type="dxa"/>
        <w:right w:w="5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3.png"/><Relationship Id="rId10" Type="http://schemas.openxmlformats.org/officeDocument/2006/relationships/image" Target="media/image11.png"/><Relationship Id="rId21" Type="http://schemas.openxmlformats.org/officeDocument/2006/relationships/footer" Target="footer2.xml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hyperlink" Target="https://help.yahoo.com/kb/download-historical-data-yahoo-finance-sln2311.html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x5nledMyquXBjAWEUKSgrTXOSQ==">AMUW2mVnTbLJ7WFaOkb5wlRIZ+PlJWp9Tz5SFSMeur2oaqsv1iuL7SYfdWiQon4mk+6+ph/nQUhssgk13/b1SjZwFx4Z4xBPp9lh/SBT7G6hr7mNyp7IEX/M3nhZPvLhYnI6m/F6MgNKkZ8xNvpkbEkTbMclKy68eg==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2020-06-27T15:19:00Z</dcterms:created>
  <dc:creator>Alinne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str>16.0000</vt:lp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