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r>
        <w:t xml:space="preserve"/>
      </w:r>
    </w:p>
    <w:p>
      <w:pPr>
        <w:spacing w:after="40" w:before="0"/>
        <w:jc w:val="center"/>
      </w:pPr>
      <w:r>
        <w:rPr>
          <w:rFonts w:ascii="Arial" w:cs="Arial" w:eastAsia="Arial" w:hAnsi="Arial"/>
          <w:b/>
          <w:bCs/>
          <w:color w:val="5A6270"/>
          <w:sz w:val="20"/>
          <w:szCs w:val="20"/>
        </w:rPr>
        <w:t xml:space="preserve">LEHRERHANDREICHUNG</w:t>
      </w:r>
    </w:p>
    <w:p>
      <w:pPr>
        <w:pBdr>
          <w:bottom w:val="single" w:color="2E6FA3" w:sz="8" w:space="6"/>
        </w:pBdr>
        <w:spacing w:after="60" w:before="0"/>
        <w:jc w:val="center"/>
      </w:pPr>
      <w:r>
        <w:rPr>
          <w:rFonts w:ascii="Arial" w:cs="Arial" w:eastAsia="Arial" w:hAnsi="Arial"/>
          <w:b/>
          <w:bCs/>
          <w:color w:val="1A3A5C"/>
          <w:sz w:val="40"/>
          <w:szCs w:val="40"/>
        </w:rPr>
        <w:t xml:space="preserve">Escape Room – Operation Klimaarchiv</w:t>
      </w:r>
    </w:p>
    <w:p>
      <w:pPr>
        <w:spacing w:after="40" w:before="0"/>
      </w:pPr>
      <w:r>
        <w:t xml:space="preserve"/>
      </w:r>
    </w:p>
    <w:p>
      <w:pPr>
        <w:spacing w:after="20" w:before="0"/>
        <w:jc w:val="center"/>
      </w:pPr>
      <w:r>
        <w:rPr>
          <w:rFonts w:ascii="Arial" w:cs="Arial" w:eastAsia="Arial" w:hAnsi="Arial"/>
          <w:color w:val="2E6FA3"/>
          <w:sz w:val="26"/>
          <w:szCs w:val="26"/>
        </w:rPr>
        <w:t xml:space="preserve">Erdkunde / Geographie  ·  Klasse 8</w:t>
      </w:r>
    </w:p>
    <w:p>
      <w:pPr>
        <w:spacing w:after="20" w:before="0"/>
        <w:jc w:val="center"/>
      </w:pPr>
      <w:r>
        <w:rPr>
          <w:rFonts w:ascii="Arial" w:cs="Arial" w:eastAsia="Arial" w:hAnsi="Arial"/>
          <w:color w:val="5A6270"/>
          <w:sz w:val="22"/>
          <w:szCs w:val="22"/>
        </w:rPr>
        <w:t xml:space="preserve">Themeneinheit: Herausforderung Klimawandel  (Kapitel 7, S. 136–159)</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7F00" w:sz="4"/>
              <w:left w:val="single" w:color="C47F00" w:sz="4"/>
              <w:bottom w:val="single" w:color="C47F00" w:sz="4"/>
              <w:right w:val="single" w:color="C47F00" w:sz="4"/>
            </w:tcBorders>
            <w:shd w:fill="2E6FA3" w:val="clear"/>
            <w:tcMar>
              <w:top w:type="dxa" w:w="80"/>
              <w:left w:type="dxa" w:w="120"/>
              <w:bottom w:type="dxa" w:w="80"/>
              <w:right w:type="dxa" w:w="120"/>
            </w:tcMar>
          </w:tcPr>
          <w:p>
            <w:r>
              <w:rPr>
                <w:rFonts w:ascii="Arial" w:cs="Arial" w:eastAsia="Arial" w:hAnsi="Arial"/>
                <w:b/>
                <w:bCs/>
                <w:color w:val="FFFFFF"/>
                <w:sz w:val="22"/>
                <w:szCs w:val="22"/>
              </w:rPr>
              <w:t xml:space="preserve">KI-Generierungshinweis</w:t>
            </w:r>
          </w:p>
        </w:tc>
      </w:tr>
      <w:tr>
        <w:tc>
          <w:tcPr>
            <w:tcW w:type="dxa" w:w="9026"/>
            <w:tcBorders>
              <w:top w:val="single" w:color="C47F00" w:sz="4"/>
              <w:left w:val="single" w:color="C47F00" w:sz="4"/>
              <w:bottom w:val="single" w:color="C47F00" w:sz="4"/>
              <w:right w:val="single" w:color="C47F00" w:sz="4"/>
            </w:tcBorders>
            <w:shd w:fill="FFF8E5" w:val="clear"/>
            <w:tcMar>
              <w:top w:type="dxa" w:w="60"/>
              <w:left w:type="dxa" w:w="120"/>
              <w:bottom w:type="dxa" w:w="60"/>
              <w:right w:type="dxa" w:w="120"/>
            </w:tcMar>
          </w:tcPr>
          <w:p>
            <w:pPr>
              <w:spacing w:after="40" w:before="40"/>
            </w:pPr>
            <w:r>
              <w:rPr>
                <w:rFonts w:ascii="Arial" w:cs="Arial" w:eastAsia="Arial" w:hAnsi="Arial"/>
                <w:color w:val="5A6270"/>
                <w:sz w:val="20"/>
                <w:szCs w:val="20"/>
              </w:rPr>
              <w:t xml:space="preserve">Erstellt mit: </w:t>
            </w:r>
            <w:r>
              <w:rPr>
                <w:rFonts w:ascii="Arial" w:cs="Arial" w:eastAsia="Arial" w:hAnsi="Arial"/>
                <w:b/>
                <w:bCs/>
                <w:color w:val="1A3A5C"/>
                <w:sz w:val="20"/>
                <w:szCs w:val="20"/>
              </w:rPr>
              <w:t xml:space="preserve">Claude Sonnet 4.6  (Anthropic PBC)</w:t>
            </w:r>
            <w:r>
              <w:rPr>
                <w:rFonts w:ascii="Arial" w:cs="Arial" w:eastAsia="Arial" w:hAnsi="Arial"/>
                <w:color w:val="5A6270"/>
                <w:sz w:val="20"/>
                <w:szCs w:val="20"/>
              </w:rPr>
              <w:t xml:space="preserve">   ·   Datum: </w:t>
            </w:r>
            <w:r>
              <w:rPr>
                <w:rFonts w:ascii="Arial" w:cs="Arial" w:eastAsia="Arial" w:hAnsi="Arial"/>
                <w:b/>
                <w:bCs/>
                <w:color w:val="1A3A5C"/>
                <w:sz w:val="20"/>
                <w:szCs w:val="20"/>
              </w:rPr>
              <w:t xml:space="preserve">20. Mai 2026</w:t>
            </w:r>
          </w:p>
        </w:tc>
      </w:tr>
      <w:tr>
        <w:tc>
          <w:tcPr>
            <w:tcW w:type="dxa" w:w="9026"/>
            <w:tcBorders>
              <w:top w:val="single" w:color="C47F00" w:sz="4"/>
              <w:left w:val="single" w:color="C47F00" w:sz="4"/>
              <w:bottom w:val="single" w:color="C47F00" w:sz="4"/>
              <w:right w:val="single" w:color="C47F00" w:sz="4"/>
            </w:tcBorders>
            <w:shd w:fill="FFF8E5" w:val="clear"/>
            <w:tcMar>
              <w:top w:type="dxa" w:w="60"/>
              <w:left w:type="dxa" w:w="120"/>
              <w:bottom w:type="dxa" w:w="60"/>
              <w:right w:type="dxa" w:w="120"/>
            </w:tcMar>
          </w:tcPr>
          <w:p>
            <w:pPr>
              <w:spacing w:after="40" w:before="40"/>
            </w:pPr>
            <w:r>
              <w:rPr>
                <w:rFonts w:ascii="Arial" w:cs="Arial" w:eastAsia="Arial" w:hAnsi="Arial"/>
                <w:color w:val="5A6270"/>
                <w:sz w:val="19"/>
                <w:szCs w:val="19"/>
              </w:rPr>
              <w:t xml:space="preserve">Dieses Dokument wurde mit Unterstützung eines großen Sprachmodells (Large Language Model) erstellt. Alle inhaltlichen Angaben – insbesondere Fachwissen, Gesetzestexte und Gerichtsurteile – wurden nach bestem Wissen formuliert, ersetzen jedoch keine rechtliche oder fachliche Überprüfung. Die Lehrkraft trägt die didaktische Verantwortung für den Unterrichtseinsatz.</w:t>
            </w:r>
          </w:p>
        </w:tc>
      </w:tr>
    </w:tbl>
    <w:p>
      <w:pPr>
        <w:spacing w:after="40" w:before="0"/>
      </w:pPr>
      <w:r>
        <w:t xml:space="preserve"/>
      </w:r>
    </w:p>
    <w:p>
      <w:pPr>
        <w:pBdr>
          <w:bottom w:val="single" w:color="2E6FA3" w:sz="4" w:space="4"/>
        </w:pBdr>
        <w:spacing w:after="20" w:before="40"/>
      </w:pPr>
      <w:r>
        <w:rPr>
          <w:rFonts w:ascii="Arial" w:cs="Arial" w:eastAsia="Arial" w:hAnsi="Arial"/>
          <w:b/>
          <w:bCs/>
          <w:color w:val="1A3A5C"/>
          <w:sz w:val="22"/>
          <w:szCs w:val="22"/>
        </w:rPr>
        <w:t xml:space="preserve">INHALTSVERZEICHNIS</w:t>
      </w:r>
    </w:p>
    <w:p>
      <w:pPr>
        <w:spacing w:after="20" w:before="0"/>
      </w:pPr>
      <w:r>
        <w:t xml:space="preserve"/>
      </w:r>
    </w:p>
    <w:p>
      <w:pPr>
        <w:spacing w:after="60" w:before="100"/>
      </w:pPr>
      <w:r>
        <w:rPr>
          <w:rFonts w:ascii="Arial" w:cs="Arial" w:eastAsia="Arial" w:hAnsi="Arial"/>
          <w:b/>
          <w:bCs/>
          <w:color w:val="1A3A5C"/>
          <w:sz w:val="22"/>
          <w:szCs w:val="22"/>
        </w:rPr>
        <w:t xml:space="preserve">1  Sachanalyse</w:t>
      </w:r>
    </w:p>
    <w:p>
      <w:pPr>
        <w:spacing w:after="24" w:before="36"/>
      </w:pPr>
      <w:r>
        <w:rPr>
          <w:rFonts w:ascii="Arial" w:cs="Arial" w:eastAsia="Arial" w:hAnsi="Arial"/>
          <w:b w:val="false"/>
          <w:bCs w:val="false"/>
          <w:color w:val="5A6270"/>
          <w:sz w:val="20"/>
          <w:szCs w:val="20"/>
        </w:rPr>
        <w:t xml:space="preserve">         1.1  Aufbau und Funktion der Atmosphäre</w:t>
      </w:r>
    </w:p>
    <w:p>
      <w:pPr>
        <w:spacing w:after="24" w:before="36"/>
      </w:pPr>
      <w:r>
        <w:rPr>
          <w:rFonts w:ascii="Arial" w:cs="Arial" w:eastAsia="Arial" w:hAnsi="Arial"/>
          <w:b w:val="false"/>
          <w:bCs w:val="false"/>
          <w:color w:val="5A6270"/>
          <w:sz w:val="20"/>
          <w:szCs w:val="20"/>
        </w:rPr>
        <w:t xml:space="preserve">         1.2  Der Wasserkreislauf</w:t>
      </w:r>
    </w:p>
    <w:p>
      <w:pPr>
        <w:spacing w:after="24" w:before="36"/>
      </w:pPr>
      <w:r>
        <w:rPr>
          <w:rFonts w:ascii="Arial" w:cs="Arial" w:eastAsia="Arial" w:hAnsi="Arial"/>
          <w:b w:val="false"/>
          <w:bCs w:val="false"/>
          <w:color w:val="5A6270"/>
          <w:sz w:val="20"/>
          <w:szCs w:val="20"/>
        </w:rPr>
        <w:t xml:space="preserve">         1.3  Entstehung von Wirbelstürmen</w:t>
      </w:r>
    </w:p>
    <w:p>
      <w:pPr>
        <w:spacing w:after="24" w:before="36"/>
      </w:pPr>
      <w:r>
        <w:rPr>
          <w:rFonts w:ascii="Arial" w:cs="Arial" w:eastAsia="Arial" w:hAnsi="Arial"/>
          <w:b w:val="false"/>
          <w:bCs w:val="false"/>
          <w:color w:val="5A6270"/>
          <w:sz w:val="20"/>
          <w:szCs w:val="20"/>
        </w:rPr>
        <w:t xml:space="preserve">         1.4  Natürlicher und anthropogener Treibhauseffekt</w:t>
      </w:r>
    </w:p>
    <w:p>
      <w:pPr>
        <w:spacing w:after="24" w:before="36"/>
      </w:pPr>
      <w:r>
        <w:rPr>
          <w:rFonts w:ascii="Arial" w:cs="Arial" w:eastAsia="Arial" w:hAnsi="Arial"/>
          <w:b w:val="false"/>
          <w:bCs w:val="false"/>
          <w:color w:val="5A6270"/>
          <w:sz w:val="20"/>
          <w:szCs w:val="20"/>
        </w:rPr>
        <w:t xml:space="preserve">         1.5  Klimawandel: Belege und globale Folgen</w:t>
      </w:r>
    </w:p>
    <w:p>
      <w:pPr>
        <w:spacing w:after="24" w:before="36"/>
      </w:pPr>
      <w:r>
        <w:rPr>
          <w:rFonts w:ascii="Arial" w:cs="Arial" w:eastAsia="Arial" w:hAnsi="Arial"/>
          <w:b w:val="false"/>
          <w:bCs w:val="false"/>
          <w:color w:val="5A6270"/>
          <w:sz w:val="20"/>
          <w:szCs w:val="20"/>
        </w:rPr>
        <w:t xml:space="preserve">         1.6  Klimaschutz und internationale Abkommen</w:t>
      </w:r>
    </w:p>
    <w:p>
      <w:pPr>
        <w:spacing w:after="60" w:before="100"/>
      </w:pPr>
      <w:r>
        <w:rPr>
          <w:rFonts w:ascii="Arial" w:cs="Arial" w:eastAsia="Arial" w:hAnsi="Arial"/>
          <w:b/>
          <w:bCs/>
          <w:color w:val="1A3A5C"/>
          <w:sz w:val="22"/>
          <w:szCs w:val="22"/>
        </w:rPr>
        <w:t xml:space="preserve">2  Didaktisches Setting</w:t>
      </w:r>
    </w:p>
    <w:p>
      <w:pPr>
        <w:spacing w:after="24" w:before="36"/>
      </w:pPr>
      <w:r>
        <w:rPr>
          <w:rFonts w:ascii="Arial" w:cs="Arial" w:eastAsia="Arial" w:hAnsi="Arial"/>
          <w:b w:val="false"/>
          <w:bCs w:val="false"/>
          <w:color w:val="5A6270"/>
          <w:sz w:val="20"/>
          <w:szCs w:val="20"/>
        </w:rPr>
        <w:t xml:space="preserve">         2.1  Lehrplanbezug und curriculare Einordnung</w:t>
      </w:r>
    </w:p>
    <w:p>
      <w:pPr>
        <w:spacing w:after="24" w:before="36"/>
      </w:pPr>
      <w:r>
        <w:rPr>
          <w:rFonts w:ascii="Arial" w:cs="Arial" w:eastAsia="Arial" w:hAnsi="Arial"/>
          <w:b w:val="false"/>
          <w:bCs w:val="false"/>
          <w:color w:val="5A6270"/>
          <w:sz w:val="20"/>
          <w:szCs w:val="20"/>
        </w:rPr>
        <w:t xml:space="preserve">         2.2  Lernziele</w:t>
      </w:r>
    </w:p>
    <w:p>
      <w:pPr>
        <w:spacing w:after="24" w:before="36"/>
      </w:pPr>
      <w:r>
        <w:rPr>
          <w:rFonts w:ascii="Arial" w:cs="Arial" w:eastAsia="Arial" w:hAnsi="Arial"/>
          <w:b w:val="false"/>
          <w:bCs w:val="false"/>
          <w:color w:val="5A6270"/>
          <w:sz w:val="20"/>
          <w:szCs w:val="20"/>
        </w:rPr>
        <w:t xml:space="preserve">         2.3  Einbettung in die Unterrichtssequenz</w:t>
      </w:r>
    </w:p>
    <w:p>
      <w:pPr>
        <w:spacing w:after="60" w:before="100"/>
      </w:pPr>
      <w:r>
        <w:rPr>
          <w:rFonts w:ascii="Arial" w:cs="Arial" w:eastAsia="Arial" w:hAnsi="Arial"/>
          <w:b/>
          <w:bCs/>
          <w:color w:val="1A3A5C"/>
          <w:sz w:val="22"/>
          <w:szCs w:val="22"/>
        </w:rPr>
        <w:t xml:space="preserve">3  Pädagogische Entscheidungen</w:t>
      </w:r>
    </w:p>
    <w:p>
      <w:pPr>
        <w:spacing w:after="24" w:before="36"/>
      </w:pPr>
      <w:r>
        <w:rPr>
          <w:rFonts w:ascii="Arial" w:cs="Arial" w:eastAsia="Arial" w:hAnsi="Arial"/>
          <w:b w:val="false"/>
          <w:bCs w:val="false"/>
          <w:color w:val="5A6270"/>
          <w:sz w:val="20"/>
          <w:szCs w:val="20"/>
        </w:rPr>
        <w:t xml:space="preserve">         3.1  Methodenwahl: Game-Based Learning mit Escape Room</w:t>
      </w:r>
    </w:p>
    <w:p>
      <w:pPr>
        <w:spacing w:after="24" w:before="36"/>
      </w:pPr>
      <w:r>
        <w:rPr>
          <w:rFonts w:ascii="Arial" w:cs="Arial" w:eastAsia="Arial" w:hAnsi="Arial"/>
          <w:b w:val="false"/>
          <w:bCs w:val="false"/>
          <w:color w:val="5A6270"/>
          <w:sz w:val="20"/>
          <w:szCs w:val="20"/>
        </w:rPr>
        <w:t xml:space="preserve">         3.2  Entscheidung gegen einen Countdown-Timer</w:t>
      </w:r>
    </w:p>
    <w:p>
      <w:pPr>
        <w:spacing w:after="24" w:before="36"/>
      </w:pPr>
      <w:r>
        <w:rPr>
          <w:rFonts w:ascii="Arial" w:cs="Arial" w:eastAsia="Arial" w:hAnsi="Arial"/>
          <w:b w:val="false"/>
          <w:bCs w:val="false"/>
          <w:color w:val="5A6270"/>
          <w:sz w:val="20"/>
          <w:szCs w:val="20"/>
        </w:rPr>
        <w:t xml:space="preserve">         3.3  Progressiver Aufgabenaufbau</w:t>
      </w:r>
    </w:p>
    <w:p>
      <w:pPr>
        <w:spacing w:after="24" w:before="36"/>
      </w:pPr>
      <w:r>
        <w:rPr>
          <w:rFonts w:ascii="Arial" w:cs="Arial" w:eastAsia="Arial" w:hAnsi="Arial"/>
          <w:b w:val="false"/>
          <w:bCs w:val="false"/>
          <w:color w:val="5A6270"/>
          <w:sz w:val="20"/>
          <w:szCs w:val="20"/>
        </w:rPr>
        <w:t xml:space="preserve">         3.4  Teamgröße und Rollenverteilung</w:t>
      </w:r>
    </w:p>
    <w:p>
      <w:pPr>
        <w:spacing w:after="24" w:before="36"/>
      </w:pPr>
      <w:r>
        <w:rPr>
          <w:rFonts w:ascii="Arial" w:cs="Arial" w:eastAsia="Arial" w:hAnsi="Arial"/>
          <w:b w:val="false"/>
          <w:bCs w:val="false"/>
          <w:color w:val="5A6270"/>
          <w:sz w:val="20"/>
          <w:szCs w:val="20"/>
        </w:rPr>
        <w:t xml:space="preserve">         3.5  Tresor-Ziffern und das Notieren</w:t>
      </w:r>
    </w:p>
    <w:p>
      <w:pPr>
        <w:spacing w:after="24" w:before="36"/>
      </w:pPr>
      <w:r>
        <w:rPr>
          <w:rFonts w:ascii="Arial" w:cs="Arial" w:eastAsia="Arial" w:hAnsi="Arial"/>
          <w:b w:val="false"/>
          <w:bCs w:val="false"/>
          <w:color w:val="5A6270"/>
          <w:sz w:val="20"/>
          <w:szCs w:val="20"/>
        </w:rPr>
        <w:t xml:space="preserve">         3.6  Debriefing als obligatorische Lernphase</w:t>
      </w:r>
    </w:p>
    <w:p>
      <w:pPr>
        <w:spacing w:after="24" w:before="36"/>
      </w:pPr>
      <w:r>
        <w:rPr>
          <w:rFonts w:ascii="Arial" w:cs="Arial" w:eastAsia="Arial" w:hAnsi="Arial"/>
          <w:b w:val="false"/>
          <w:bCs w:val="false"/>
          <w:color w:val="5A6270"/>
          <w:sz w:val="20"/>
          <w:szCs w:val="20"/>
        </w:rPr>
        <w:t xml:space="preserve">         3.7  Datenschutz- und urheberrechtliche Entscheidungen</w:t>
      </w:r>
    </w:p>
    <w:p>
      <w:pPr>
        <w:spacing w:after="60" w:before="100"/>
      </w:pPr>
      <w:r>
        <w:rPr>
          <w:rFonts w:ascii="Arial" w:cs="Arial" w:eastAsia="Arial" w:hAnsi="Arial"/>
          <w:b/>
          <w:bCs/>
          <w:color w:val="1A3A5C"/>
          <w:sz w:val="22"/>
          <w:szCs w:val="22"/>
        </w:rPr>
        <w:t xml:space="preserve">4  Durchführungshinweise</w:t>
      </w:r>
    </w:p>
    <w:p>
      <w:pPr>
        <w:spacing w:after="24" w:before="36"/>
      </w:pPr>
      <w:r>
        <w:rPr>
          <w:rFonts w:ascii="Arial" w:cs="Arial" w:eastAsia="Arial" w:hAnsi="Arial"/>
          <w:b w:val="false"/>
          <w:bCs w:val="false"/>
          <w:color w:val="5A6270"/>
          <w:sz w:val="20"/>
          <w:szCs w:val="20"/>
        </w:rPr>
        <w:t xml:space="preserve">         4.1  Technische Vorbereitung</w:t>
      </w:r>
    </w:p>
    <w:p>
      <w:pPr>
        <w:spacing w:after="24" w:before="36"/>
      </w:pPr>
      <w:r>
        <w:rPr>
          <w:rFonts w:ascii="Arial" w:cs="Arial" w:eastAsia="Arial" w:hAnsi="Arial"/>
          <w:b w:val="false"/>
          <w:bCs w:val="false"/>
          <w:color w:val="5A6270"/>
          <w:sz w:val="20"/>
          <w:szCs w:val="20"/>
        </w:rPr>
        <w:t xml:space="preserve">         4.2  Ablaufplanung</w:t>
      </w:r>
    </w:p>
    <w:p>
      <w:pPr>
        <w:spacing w:after="24" w:before="36"/>
      </w:pPr>
      <w:r>
        <w:rPr>
          <w:rFonts w:ascii="Arial" w:cs="Arial" w:eastAsia="Arial" w:hAnsi="Arial"/>
          <w:b w:val="false"/>
          <w:bCs w:val="false"/>
          <w:color w:val="5A6270"/>
          <w:sz w:val="20"/>
          <w:szCs w:val="20"/>
        </w:rPr>
        <w:t xml:space="preserve">         4.3  Rolle der Lehrkraft</w:t>
      </w:r>
    </w:p>
    <w:p>
      <w:pPr>
        <w:spacing w:after="24" w:before="36"/>
      </w:pPr>
      <w:r>
        <w:rPr>
          <w:rFonts w:ascii="Arial" w:cs="Arial" w:eastAsia="Arial" w:hAnsi="Arial"/>
          <w:b w:val="false"/>
          <w:bCs w:val="false"/>
          <w:color w:val="5A6270"/>
          <w:sz w:val="20"/>
          <w:szCs w:val="20"/>
        </w:rPr>
        <w:t xml:space="preserve">         4.4  Fortsetzung in der Folgestunde</w:t>
      </w:r>
    </w:p>
    <w:p>
      <w:pPr>
        <w:spacing w:after="60" w:before="100"/>
      </w:pPr>
      <w:r>
        <w:rPr>
          <w:rFonts w:ascii="Arial" w:cs="Arial" w:eastAsia="Arial" w:hAnsi="Arial"/>
          <w:b/>
          <w:bCs/>
          <w:color w:val="1A3A5C"/>
          <w:sz w:val="22"/>
          <w:szCs w:val="22"/>
        </w:rPr>
        <w:t xml:space="preserve">5  Rechtliche Hinweise und Lizenzangaben</w:t>
      </w:r>
    </w:p>
    <w:p>
      <w:pPr>
        <w:spacing w:after="24" w:before="36"/>
      </w:pPr>
      <w:r>
        <w:rPr>
          <w:rFonts w:ascii="Arial" w:cs="Arial" w:eastAsia="Arial" w:hAnsi="Arial"/>
          <w:b w:val="false"/>
          <w:bCs w:val="false"/>
          <w:color w:val="5A6270"/>
          <w:sz w:val="20"/>
          <w:szCs w:val="20"/>
        </w:rPr>
        <w:t xml:space="preserve">         5.1  Lizenzangaben der eingebetteten Schriften</w:t>
      </w:r>
    </w:p>
    <w:p>
      <w:pPr>
        <w:spacing w:after="24" w:before="36"/>
      </w:pPr>
      <w:r>
        <w:rPr>
          <w:rFonts w:ascii="Arial" w:cs="Arial" w:eastAsia="Arial" w:hAnsi="Arial"/>
          <w:b w:val="false"/>
          <w:bCs w:val="false"/>
          <w:color w:val="5A6270"/>
          <w:sz w:val="20"/>
          <w:szCs w:val="20"/>
        </w:rPr>
        <w:t xml:space="preserve">         5.2  Urheberrecht, KI-Generierung und Haftungshinweis</w:t>
      </w:r>
    </w:p>
    <w:p>
      <w:pPr>
        <w:spacing w:after="24" w:before="36"/>
      </w:pPr>
      <w:r>
        <w:rPr>
          <w:rFonts w:ascii="Arial" w:cs="Arial" w:eastAsia="Arial" w:hAnsi="Arial"/>
          <w:b w:val="false"/>
          <w:bCs w:val="false"/>
          <w:color w:val="5A6270"/>
          <w:sz w:val="20"/>
          <w:szCs w:val="20"/>
        </w:rPr>
        <w:t xml:space="preserve">         5.3  Datenschutzrechtliche Einordnung</w:t>
      </w:r>
    </w:p>
    <w:p>
      <w:pPr>
        <w:spacing w:after="60" w:before="100"/>
      </w:pPr>
      <w:r>
        <w:rPr>
          <w:rFonts w:ascii="Arial" w:cs="Arial" w:eastAsia="Arial" w:hAnsi="Arial"/>
          <w:b/>
          <w:bCs/>
          <w:color w:val="1A3A5C"/>
          <w:sz w:val="22"/>
          <w:szCs w:val="22"/>
        </w:rPr>
        <w:t xml:space="preserve">6  Lösungsbogen</w:t>
      </w:r>
    </w:p>
    <w:p>
      <w:pPr>
        <w:spacing w:after="40" w:before="0"/>
      </w:pPr>
      <w:r>
        <w:t xml:space="preserve"/>
      </w:r>
    </w:p>
    <w:p>
      <w:r>
        <w:br w:type="page"/>
      </w:r>
    </w:p>
    <w:p>
      <w:pPr>
        <w:pStyle w:val="Heading1"/>
        <w:spacing w:after="120" w:before="360"/>
      </w:pPr>
      <w:r>
        <w:rPr>
          <w:rFonts w:ascii="Arial" w:cs="Arial" w:eastAsia="Arial" w:hAnsi="Arial"/>
          <w:b/>
          <w:bCs/>
          <w:color w:val="1A3A5C"/>
          <w:sz w:val="32"/>
          <w:szCs w:val="32"/>
        </w:rPr>
        <w:t xml:space="preserve">1  Sachanalyse</w:t>
      </w:r>
    </w:p>
    <w:p>
      <w:pPr>
        <w:spacing w:after="100" w:before="60"/>
        <w:jc w:val="both"/>
      </w:pPr>
      <w:r>
        <w:rPr>
          <w:rFonts w:ascii="Arial" w:cs="Arial" w:eastAsia="Arial" w:hAnsi="Arial"/>
          <w:color w:val="000000"/>
          <w:sz w:val="22"/>
          <w:szCs w:val="22"/>
        </w:rPr>
        <w:t xml:space="preserve">Die folgende Sachanalyse skizziert die fachwissenschaftlichen Grundlagen der sechs Themenfelder, die im Escape Room bearbeitet werden. Sie dient der fachlichen Sicherheit der Lehrkraft und bildet die Grundlage für die didaktische Reduktion in den Rätselaufgaben.</w:t>
      </w:r>
    </w:p>
    <w:p>
      <w:pPr>
        <w:spacing w:after="80" w:before="0"/>
      </w:pPr>
      <w:r>
        <w:t xml:space="preserve"/>
      </w:r>
    </w:p>
    <w:p>
      <w:pPr>
        <w:pStyle w:val="Heading2"/>
        <w:spacing w:after="80" w:before="280"/>
      </w:pPr>
      <w:r>
        <w:rPr>
          <w:rFonts w:ascii="Arial" w:cs="Arial" w:eastAsia="Arial" w:hAnsi="Arial"/>
          <w:b/>
          <w:bCs/>
          <w:color w:val="2E6FA3"/>
          <w:sz w:val="26"/>
          <w:szCs w:val="26"/>
        </w:rPr>
        <w:t xml:space="preserve">1.1  Aufbau und Funktion der Atmosphäre</w:t>
      </w:r>
    </w:p>
    <w:p>
      <w:pPr>
        <w:spacing w:after="100" w:before="60"/>
        <w:jc w:val="both"/>
      </w:pPr>
      <w:r>
        <w:rPr>
          <w:rFonts w:ascii="Arial" w:cs="Arial" w:eastAsia="Arial" w:hAnsi="Arial"/>
          <w:color w:val="000000"/>
          <w:sz w:val="22"/>
          <w:szCs w:val="22"/>
        </w:rPr>
        <w:t xml:space="preserve">Die Erdatmosphäre ist eine konzentrische Gashülle, die den Planeten umgibt. Sie besteht zu 78 % aus Stickstoff (N₂), zu 21 % aus Sauerstoff (O₂) sowie aus Spurengasen (CO₂, CH₄, Ar u. a.). Für das Klimasystem entscheidend sind vor allem die Treibhausgase.</w:t>
      </w:r>
    </w:p>
    <w:p>
      <w:pPr>
        <w:pStyle w:val="ListParagraph"/>
        <w:numPr>
          <w:ilvl w:val="0"/>
          <w:numId w:val="2"/>
        </w:numPr>
        <w:spacing w:after="40" w:before="40"/>
      </w:pPr>
      <w:r>
        <w:rPr>
          <w:rFonts w:ascii="Arial" w:cs="Arial" w:eastAsia="Arial" w:hAnsi="Arial"/>
          <w:sz w:val="22"/>
          <w:szCs w:val="22"/>
        </w:rPr>
        <w:t xml:space="preserve">Troposphäre (0–12 km): Wetter- und Flugverkehrszone. Temperatur sinkt mit der Höhe. Die Obergrenzentemperatur beträgt ca. –60 °C.</w:t>
      </w:r>
    </w:p>
    <w:p>
      <w:pPr>
        <w:pStyle w:val="ListParagraph"/>
        <w:numPr>
          <w:ilvl w:val="0"/>
          <w:numId w:val="2"/>
        </w:numPr>
        <w:spacing w:after="40" w:before="40"/>
      </w:pPr>
      <w:r>
        <w:rPr>
          <w:rFonts w:ascii="Arial" w:cs="Arial" w:eastAsia="Arial" w:hAnsi="Arial"/>
          <w:sz w:val="22"/>
          <w:szCs w:val="22"/>
        </w:rPr>
        <w:t xml:space="preserve">Stratosphäre (12–50 km): Enthält die Ozonschicht (ca. 20–30 km), die kurzwellige UV-Strahlung absorbiert und so das Leben auf der Erde schützt.</w:t>
      </w:r>
    </w:p>
    <w:p>
      <w:pPr>
        <w:pStyle w:val="ListParagraph"/>
        <w:numPr>
          <w:ilvl w:val="0"/>
          <w:numId w:val="2"/>
        </w:numPr>
        <w:spacing w:after="40" w:before="40"/>
      </w:pPr>
      <w:r>
        <w:rPr>
          <w:rFonts w:ascii="Arial" w:cs="Arial" w:eastAsia="Arial" w:hAnsi="Arial"/>
          <w:sz w:val="22"/>
          <w:szCs w:val="22"/>
        </w:rPr>
        <w:t xml:space="preserve">Mesosphäre (50–80 km): Kälteste Schicht; Meteore vergühen hier durch Reibung. Sternschnuppen entstehen hier.</w:t>
      </w:r>
    </w:p>
    <w:p>
      <w:pPr>
        <w:pStyle w:val="ListParagraph"/>
        <w:numPr>
          <w:ilvl w:val="0"/>
          <w:numId w:val="2"/>
        </w:numPr>
        <w:spacing w:after="40" w:before="40"/>
      </w:pPr>
      <w:r>
        <w:rPr>
          <w:rFonts w:ascii="Arial" w:cs="Arial" w:eastAsia="Arial" w:hAnsi="Arial"/>
          <w:sz w:val="22"/>
          <w:szCs w:val="22"/>
        </w:rPr>
        <w:t xml:space="preserve">Thermosphäre (80–500 km): Sehr dünne Luft; Raumstationen kreisen in dieser Schicht; Polarlichter entstehen durch Wechselwirkung geladener Teilchen mit Luftmolekülen.</w:t>
      </w:r>
    </w:p>
    <w:p>
      <w:pPr>
        <w:pStyle w:val="ListParagraph"/>
        <w:numPr>
          <w:ilvl w:val="0"/>
          <w:numId w:val="2"/>
        </w:numPr>
        <w:spacing w:after="40" w:before="40"/>
      </w:pPr>
      <w:r>
        <w:rPr>
          <w:rFonts w:ascii="Arial" w:cs="Arial" w:eastAsia="Arial" w:hAnsi="Arial"/>
          <w:sz w:val="22"/>
          <w:szCs w:val="22"/>
        </w:rPr>
        <w:t xml:space="preserve">Exosphäre (ab ca. 500 km): Übergangszone zum interplanetaren Raum; Satelliten kreisen hier.</w:t>
      </w:r>
    </w:p>
    <w:p>
      <w:pPr>
        <w:spacing w:after="80" w:before="0"/>
      </w:pPr>
      <w:r>
        <w:t xml:space="preserve"/>
      </w:r>
    </w:p>
    <w:p>
      <w:pPr>
        <w:pStyle w:val="Heading2"/>
        <w:spacing w:after="80" w:before="280"/>
      </w:pPr>
      <w:r>
        <w:rPr>
          <w:rFonts w:ascii="Arial" w:cs="Arial" w:eastAsia="Arial" w:hAnsi="Arial"/>
          <w:b/>
          <w:bCs/>
          <w:color w:val="2E6FA3"/>
          <w:sz w:val="26"/>
          <w:szCs w:val="26"/>
        </w:rPr>
        <w:t xml:space="preserve">1.2  Der Wasserkreislauf</w:t>
      </w:r>
    </w:p>
    <w:p>
      <w:pPr>
        <w:spacing w:after="100" w:before="60"/>
        <w:jc w:val="both"/>
      </w:pPr>
      <w:r>
        <w:rPr>
          <w:rFonts w:ascii="Arial" w:cs="Arial" w:eastAsia="Arial" w:hAnsi="Arial"/>
          <w:color w:val="000000"/>
          <w:sz w:val="22"/>
          <w:szCs w:val="22"/>
        </w:rPr>
        <w:t xml:space="preserve">Der hydrologische Kreislauf beschreibt den kontinuierlichen Austausch von Wasser zwischen Erdoberfläche, Atmosphäre und Lithosphäre. Antriebsenergie liefert die Sonnenstrahlung. Das Wasser verdunstet über den Ozeanen, steigt als Wasserdampf auf, kondensiert zu Wolken und fällt als Niederschlag. Es versickert, fließt über Flüsse ab oder speist Grundwasserreservoirs und gelangt schließlich ins Meer zurück. Der Klimawandel intensiviert den Kreislauf: Höhere Temperaturen steigern die Verdunstung, was zu mehr extremen Niederschlägen, aber auch längeren Trockenperioden führt. Das Aralsee-Beispiel zeigt drastisch, wie menschliche Eingriffe lokale Kreisläufe zerstören können.</w:t>
      </w:r>
    </w:p>
    <w:p>
      <w:pPr>
        <w:spacing w:after="80" w:before="0"/>
      </w:pPr>
      <w:r>
        <w:t xml:space="preserve"/>
      </w:r>
    </w:p>
    <w:p>
      <w:pPr>
        <w:pStyle w:val="Heading2"/>
        <w:spacing w:after="80" w:before="280"/>
      </w:pPr>
      <w:r>
        <w:rPr>
          <w:rFonts w:ascii="Arial" w:cs="Arial" w:eastAsia="Arial" w:hAnsi="Arial"/>
          <w:b/>
          <w:bCs/>
          <w:color w:val="2E6FA3"/>
          <w:sz w:val="26"/>
          <w:szCs w:val="26"/>
        </w:rPr>
        <w:t xml:space="preserve">1.3  Entstehung von Wirbelsturmen</w:t>
      </w:r>
    </w:p>
    <w:p>
      <w:pPr>
        <w:spacing w:after="100" w:before="60"/>
        <w:jc w:val="both"/>
      </w:pPr>
      <w:r>
        <w:rPr>
          <w:rFonts w:ascii="Arial" w:cs="Arial" w:eastAsia="Arial" w:hAnsi="Arial"/>
          <w:color w:val="000000"/>
          <w:sz w:val="22"/>
          <w:szCs w:val="22"/>
        </w:rPr>
        <w:t xml:space="preserve">Tropische Wirbelsturme (je nach Region: Hurrikan, Zyklon, Taifun) entstehen ausschließlich über warmem Meerwasser (≥ 27 °C) in tropischen Breiten. Aufsteigende feuchtwarme Luft erzeugt Konvektion; die Corioliskraft versetzt die Luftmassen in Rotation. Das „Auge“ ist ein nahezu windstiller Bereich niedrigen Drucks im Zentrum. Hurrikane erreichen Windgeschwindigkeiten bis 350 km/h und können Durchmesser von mehreren hundert Kilometern haben; ihre Lebensdauer beträgt 5–10 Tage. Tornados entstehen demgegenüber über Land durch thermische Konvektion: Erhitzte Luft steigt rasch auf und gerät in Rotation, die sich zu einem engen Rüssel (Durchmesser 20 m – 1 km) ausbildet. Windgeschwindigkeiten können bis 500 km/h erreichen, die Dauer beträgt aber meist nur Minuten.</w:t>
      </w:r>
    </w:p>
    <w:p>
      <w:pPr>
        <w:spacing w:after="80" w:before="0"/>
      </w:pPr>
      <w:r>
        <w:t xml:space="preserve"/>
      </w:r>
    </w:p>
    <w:p>
      <w:pPr>
        <w:pStyle w:val="Heading2"/>
        <w:spacing w:after="80" w:before="280"/>
      </w:pPr>
      <w:r>
        <w:rPr>
          <w:rFonts w:ascii="Arial" w:cs="Arial" w:eastAsia="Arial" w:hAnsi="Arial"/>
          <w:b/>
          <w:bCs/>
          <w:color w:val="2E6FA3"/>
          <w:sz w:val="26"/>
          <w:szCs w:val="26"/>
        </w:rPr>
        <w:t xml:space="preserve">1.4  Natürlicher und anthropogener Treibhauseffekt</w:t>
      </w:r>
    </w:p>
    <w:p>
      <w:pPr>
        <w:spacing w:after="100" w:before="60"/>
        <w:jc w:val="both"/>
      </w:pPr>
      <w:r>
        <w:rPr>
          <w:rFonts w:ascii="Arial" w:cs="Arial" w:eastAsia="Arial" w:hAnsi="Arial"/>
          <w:color w:val="000000"/>
          <w:sz w:val="22"/>
          <w:szCs w:val="22"/>
        </w:rPr>
        <w:t xml:space="preserve">Treibhausgase (H₂O, CO₂, CH₄, N₂O, O₃) absorbieren die langwellige Wärmestrahlung der Erdoberfläche und emittieren sie teilweise zurück. Ohne diesen natürlichen Treibhauseffekt betrüge die globale Mitteltemperatur ca. –18 °C statt der heutigen +15 °C. Seit Beginn der Industrialisierung (ca. 1850) hat der Mensch durch Verbrennung fossiler Energieträger, industrielle Prozesse, Entwaldung und Landwirtschaft die Konzentration von CO₂ und CH₄ erheblich erhöht. Dies verstärkt den natürlichen Treibhauseffekt und führt zu zusätzlicher Erwärmung (anthropogener Treibhauseffekt).</w:t>
      </w:r>
    </w:p>
    <w:p>
      <w:pPr>
        <w:spacing w:after="80" w:before="0"/>
      </w:pPr>
      <w:r>
        <w:t xml:space="preserve"/>
      </w:r>
    </w:p>
    <w:p>
      <w:pPr>
        <w:pStyle w:val="Heading2"/>
        <w:spacing w:after="80" w:before="280"/>
      </w:pPr>
      <w:r>
        <w:rPr>
          <w:rFonts w:ascii="Arial" w:cs="Arial" w:eastAsia="Arial" w:hAnsi="Arial"/>
          <w:b/>
          <w:bCs/>
          <w:color w:val="2E6FA3"/>
          <w:sz w:val="26"/>
          <w:szCs w:val="26"/>
        </w:rPr>
        <w:t xml:space="preserve">1.5  Klimawandel: Belege und globale Folgen</w:t>
      </w:r>
    </w:p>
    <w:p>
      <w:pPr>
        <w:spacing w:after="100" w:before="60"/>
        <w:jc w:val="both"/>
      </w:pPr>
      <w:r>
        <w:rPr>
          <w:rFonts w:ascii="Arial" w:cs="Arial" w:eastAsia="Arial" w:hAnsi="Arial"/>
          <w:color w:val="000000"/>
          <w:sz w:val="22"/>
          <w:szCs w:val="22"/>
        </w:rPr>
        <w:t xml:space="preserve">Die globale Mitteltemperatur ist seit Beginn der Industrialisierung um ca. 0,9 °C gestiegen (Stand 2020). Belege: NOAA-Temperaturdaten (Erwärmungstrend seit 1880), Meeresspiegelanstieg von ca. 20 cm seit 1900, Rückgang arktischer Eisflächen, Gletscherschmelze weltweit, phänologische Verschiebungen (Apfelblüte 20 Tage früher). Die Folgen sind regional sehr unterschiedlich: Die Arktis erwärmt sich doppelt so schnell wie der globale Schnitt; Inselstaaten im Pazifik sind existenziell bedroht; in Zentralasien drohen Ernteavsfälle von bis zu 30 %; in der Arktis werden neue Schifffahrtsrouten erschlossen.</w:t>
      </w:r>
    </w:p>
    <w:p>
      <w:pPr>
        <w:spacing w:after="80" w:before="0"/>
      </w:pPr>
      <w:r>
        <w:t xml:space="preserve"/>
      </w:r>
    </w:p>
    <w:p>
      <w:pPr>
        <w:pStyle w:val="Heading2"/>
        <w:spacing w:after="80" w:before="280"/>
      </w:pPr>
      <w:r>
        <w:rPr>
          <w:rFonts w:ascii="Arial" w:cs="Arial" w:eastAsia="Arial" w:hAnsi="Arial"/>
          <w:b/>
          <w:bCs/>
          <w:color w:val="2E6FA3"/>
          <w:sz w:val="26"/>
          <w:szCs w:val="26"/>
        </w:rPr>
        <w:t xml:space="preserve">1.6  Klimaschutz und internationale Abkommen</w:t>
      </w:r>
    </w:p>
    <w:p>
      <w:pPr>
        <w:spacing w:after="100" w:before="60"/>
        <w:jc w:val="both"/>
      </w:pPr>
      <w:r>
        <w:rPr>
          <w:rFonts w:ascii="Arial" w:cs="Arial" w:eastAsia="Arial" w:hAnsi="Arial"/>
          <w:color w:val="000000"/>
          <w:sz w:val="22"/>
          <w:szCs w:val="22"/>
        </w:rPr>
        <w:t xml:space="preserve">Das Kyoto-Protokoll (1997) verpflichtete Industrieländer erstmals zu konkreten Reduktionszielen, war jedoch unvollständig. Das Pariser Abkommen (2015) vereinbart unter Beteiligung aller Staaten das Ziel, die Erderwärmung auf deutlich unter 2 °C, möglichst 1,5 °C zu begrenzen. Bis 2050 soll Treibhausgasneutralität erreicht werden; bis 2030 sollen die Emissionen um 55 % gegenüber 1990 gesenkt werden. Klimaschutz erfordert Handeln auf allen Ebenen: Energiewende, effizientere Mobilität, veränderte Konsummuster und angepasste Stadtplanung.</w:t>
      </w:r>
    </w:p>
    <w:p>
      <w:r>
        <w:br w:type="page"/>
      </w:r>
    </w:p>
    <w:p>
      <w:pPr>
        <w:pStyle w:val="Heading1"/>
        <w:spacing w:after="120" w:before="360"/>
      </w:pPr>
      <w:r>
        <w:rPr>
          <w:rFonts w:ascii="Arial" w:cs="Arial" w:eastAsia="Arial" w:hAnsi="Arial"/>
          <w:b/>
          <w:bCs/>
          <w:color w:val="1A3A5C"/>
          <w:sz w:val="32"/>
          <w:szCs w:val="32"/>
        </w:rPr>
        <w:t xml:space="preserve">2  Didaktisches Setting</w:t>
      </w:r>
    </w:p>
    <w:p>
      <w:pPr>
        <w:pStyle w:val="Heading2"/>
        <w:spacing w:after="80" w:before="280"/>
      </w:pPr>
      <w:r>
        <w:rPr>
          <w:rFonts w:ascii="Arial" w:cs="Arial" w:eastAsia="Arial" w:hAnsi="Arial"/>
          <w:b/>
          <w:bCs/>
          <w:color w:val="2E6FA3"/>
          <w:sz w:val="26"/>
          <w:szCs w:val="26"/>
        </w:rPr>
        <w:t xml:space="preserve">2.1  Lehrplanbezug und curriculare Einordnung</w:t>
      </w:r>
    </w:p>
    <w:p>
      <w:pPr>
        <w:spacing w:after="100" w:before="60"/>
        <w:jc w:val="both"/>
      </w:pPr>
      <w:r>
        <w:rPr>
          <w:rFonts w:ascii="Arial" w:cs="Arial" w:eastAsia="Arial" w:hAnsi="Arial"/>
          <w:color w:val="000000"/>
          <w:sz w:val="22"/>
          <w:szCs w:val="22"/>
        </w:rPr>
        <w:t xml:space="preserve">Die Unterrichtseinheit orientiert sich am Kernlehrplan Erdkunde NRW für die Sekundarstufe 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26"/>
      </w:tblGrid>
      <w:tr>
        <w:trPr>
          <w:tblHeader/>
        </w:trPr>
        <w:tc>
          <w:tcPr>
            <w:tcW w:type="dxa" w:w="32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Inhaltsfeld</w:t>
            </w:r>
          </w:p>
        </w:tc>
        <w:tc>
          <w:tcPr>
            <w:tcW w:type="dxa" w:w="28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Kompetenz</w:t>
            </w:r>
          </w:p>
        </w:tc>
        <w:tc>
          <w:tcPr>
            <w:tcW w:type="dxa" w:w="3026"/>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Bezug im Escape Room</w:t>
            </w:r>
          </w:p>
        </w:tc>
      </w:tr>
      <w:tr>
        <w:tc>
          <w:tcPr>
            <w:tcW w:type="dxa" w:w="32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Natürliche Risiken und Katastrophen</w:t>
            </w:r>
          </w:p>
        </w:tc>
        <w:tc>
          <w:tcPr>
            <w:tcW w:type="dxa" w:w="28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Fachwissen: Entstehung von Wirbelsturmen beschreiben</w:t>
            </w:r>
          </w:p>
        </w:tc>
        <w:tc>
          <w:tcPr>
            <w:tcW w:type="dxa" w:w="30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Raum 3 – Wirbelsturme</w:t>
            </w:r>
          </w:p>
        </w:tc>
      </w:tr>
      <w:tr>
        <w:tc>
          <w:tcPr>
            <w:tcW w:type="dxa" w:w="32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Klimawandel und globale Folgen</w:t>
            </w:r>
          </w:p>
        </w:tc>
        <w:tc>
          <w:tcPr>
            <w:tcW w:type="dxa" w:w="28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Fachwissen: Treibhauseffekt und Klimafolgen erläutern</w:t>
            </w:r>
          </w:p>
        </w:tc>
        <w:tc>
          <w:tcPr>
            <w:tcW w:type="dxa" w:w="3026"/>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Räume 4, 5</w:t>
            </w:r>
          </w:p>
        </w:tc>
      </w:tr>
      <w:tr>
        <w:tc>
          <w:tcPr>
            <w:tcW w:type="dxa" w:w="32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Klimaschutz und Handlungsoptionen</w:t>
            </w:r>
          </w:p>
        </w:tc>
        <w:tc>
          <w:tcPr>
            <w:tcW w:type="dxa" w:w="28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Handlungskompetenz: Maßnahmen bewerten</w:t>
            </w:r>
          </w:p>
        </w:tc>
        <w:tc>
          <w:tcPr>
            <w:tcW w:type="dxa" w:w="30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Raum 6 – Tresor</w:t>
            </w:r>
          </w:p>
        </w:tc>
      </w:tr>
      <w:tr>
        <w:tc>
          <w:tcPr>
            <w:tcW w:type="dxa" w:w="32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Wasser und Wasserversorgung</w:t>
            </w:r>
          </w:p>
        </w:tc>
        <w:tc>
          <w:tcPr>
            <w:tcW w:type="dxa" w:w="28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Fachwissen: Wasserkreislauf beschreiben</w:t>
            </w:r>
          </w:p>
        </w:tc>
        <w:tc>
          <w:tcPr>
            <w:tcW w:type="dxa" w:w="3026"/>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Raum 2</w:t>
            </w:r>
          </w:p>
        </w:tc>
      </w:tr>
      <w:tr>
        <w:tc>
          <w:tcPr>
            <w:tcW w:type="dxa" w:w="32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Orientierung / Systemdenken</w:t>
            </w:r>
          </w:p>
        </w:tc>
        <w:tc>
          <w:tcPr>
            <w:tcW w:type="dxa" w:w="28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Methodenkompetenz: Diagramme auswerten</w:t>
            </w:r>
          </w:p>
        </w:tc>
        <w:tc>
          <w:tcPr>
            <w:tcW w:type="dxa" w:w="30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Raum 5</w:t>
            </w:r>
          </w:p>
        </w:tc>
      </w:tr>
    </w:tbl>
    <w:p>
      <w:pPr>
        <w:spacing w:after="80" w:before="0"/>
      </w:pPr>
      <w:r>
        <w:t xml:space="preserve"/>
      </w:r>
    </w:p>
    <w:p>
      <w:pPr>
        <w:pStyle w:val="Heading2"/>
        <w:spacing w:after="80" w:before="280"/>
      </w:pPr>
      <w:r>
        <w:rPr>
          <w:rFonts w:ascii="Arial" w:cs="Arial" w:eastAsia="Arial" w:hAnsi="Arial"/>
          <w:b/>
          <w:bCs/>
          <w:color w:val="2E6FA3"/>
          <w:sz w:val="26"/>
          <w:szCs w:val="26"/>
        </w:rPr>
        <w:t xml:space="preserve">2.2  Lernziele</w:t>
      </w:r>
    </w:p>
    <w:p>
      <w:pPr>
        <w:pStyle w:val="Heading3"/>
        <w:spacing w:after="60" w:before="200"/>
      </w:pPr>
      <w:r>
        <w:rPr>
          <w:rFonts w:ascii="Arial" w:cs="Arial" w:eastAsia="Arial" w:hAnsi="Arial"/>
          <w:b/>
          <w:bCs/>
          <w:color w:val="1A3A5C"/>
          <w:sz w:val="22"/>
          <w:szCs w:val="22"/>
        </w:rPr>
        <w:t xml:space="preserve">Fachliche Lernziele</w:t>
      </w:r>
    </w:p>
    <w:p>
      <w:pPr>
        <w:spacing w:after="100" w:before="60"/>
        <w:jc w:val="both"/>
      </w:pPr>
      <w:r>
        <w:rPr>
          <w:rFonts w:ascii="Arial" w:cs="Arial" w:eastAsia="Arial" w:hAnsi="Arial"/>
          <w:color w:val="000000"/>
          <w:sz w:val="22"/>
          <w:szCs w:val="22"/>
        </w:rPr>
        <w:t xml:space="preserve">Die Schülerinnen und Schüler können nach der Unterrichtseinheit …</w:t>
      </w:r>
    </w:p>
    <w:p>
      <w:pPr>
        <w:pStyle w:val="ListParagraph"/>
        <w:numPr>
          <w:ilvl w:val="0"/>
          <w:numId w:val="3"/>
        </w:numPr>
        <w:spacing w:after="40" w:before="40"/>
      </w:pPr>
      <w:r>
        <w:rPr>
          <w:rFonts w:ascii="Arial" w:cs="Arial" w:eastAsia="Arial" w:hAnsi="Arial"/>
          <w:sz w:val="22"/>
          <w:szCs w:val="22"/>
        </w:rPr>
        <w:t xml:space="preserve">die Schichten der Erdatmosphäre in ihrer richtigen Reihenfolge benennen und ihre Funktionen erläutern.</w:t>
      </w:r>
    </w:p>
    <w:p>
      <w:pPr>
        <w:pStyle w:val="ListParagraph"/>
        <w:numPr>
          <w:ilvl w:val="0"/>
          <w:numId w:val="3"/>
        </w:numPr>
        <w:spacing w:after="40" w:before="40"/>
      </w:pPr>
      <w:r>
        <w:rPr>
          <w:rFonts w:ascii="Arial" w:cs="Arial" w:eastAsia="Arial" w:hAnsi="Arial"/>
          <w:sz w:val="22"/>
          <w:szCs w:val="22"/>
        </w:rPr>
        <w:t xml:space="preserve">den Kreislauf des Wassers in seinen wesentlichen Stationen beschreiben und den Einfluss des Klimas erläutern.</w:t>
      </w:r>
    </w:p>
    <w:p>
      <w:pPr>
        <w:pStyle w:val="ListParagraph"/>
        <w:numPr>
          <w:ilvl w:val="0"/>
          <w:numId w:val="3"/>
        </w:numPr>
        <w:spacing w:after="40" w:before="40"/>
      </w:pPr>
      <w:r>
        <w:rPr>
          <w:rFonts w:ascii="Arial" w:cs="Arial" w:eastAsia="Arial" w:hAnsi="Arial"/>
          <w:sz w:val="22"/>
          <w:szCs w:val="22"/>
        </w:rPr>
        <w:t xml:space="preserve">die Entstehungsbedingungen von Hurrikanen und Tornados beschreiben und beide Phänomene anhand typischer Merkmale unterscheiden.</w:t>
      </w:r>
    </w:p>
    <w:p>
      <w:pPr>
        <w:pStyle w:val="ListParagraph"/>
        <w:numPr>
          <w:ilvl w:val="0"/>
          <w:numId w:val="3"/>
        </w:numPr>
        <w:spacing w:after="40" w:before="40"/>
      </w:pPr>
      <w:r>
        <w:rPr>
          <w:rFonts w:ascii="Arial" w:cs="Arial" w:eastAsia="Arial" w:hAnsi="Arial"/>
          <w:sz w:val="22"/>
          <w:szCs w:val="22"/>
        </w:rPr>
        <w:t xml:space="preserve">den natürlichen und anthropogenen Treibhauseffekt erklären und relevante Treibhausgase sowie deren Quellen benennen.</w:t>
      </w:r>
    </w:p>
    <w:p>
      <w:pPr>
        <w:pStyle w:val="ListParagraph"/>
        <w:numPr>
          <w:ilvl w:val="0"/>
          <w:numId w:val="3"/>
        </w:numPr>
        <w:spacing w:after="40" w:before="40"/>
      </w:pPr>
      <w:r>
        <w:rPr>
          <w:rFonts w:ascii="Arial" w:cs="Arial" w:eastAsia="Arial" w:hAnsi="Arial"/>
          <w:sz w:val="22"/>
          <w:szCs w:val="22"/>
        </w:rPr>
        <w:t xml:space="preserve">Belege für den Klimawandel aus Diagrammen und Texten herauslesen und die globalen Folgen beschreiben.</w:t>
      </w:r>
    </w:p>
    <w:p>
      <w:pPr>
        <w:pStyle w:val="ListParagraph"/>
        <w:numPr>
          <w:ilvl w:val="0"/>
          <w:numId w:val="3"/>
        </w:numPr>
        <w:spacing w:after="40" w:before="40"/>
      </w:pPr>
      <w:r>
        <w:rPr>
          <w:rFonts w:ascii="Arial" w:cs="Arial" w:eastAsia="Arial" w:hAnsi="Arial"/>
          <w:sz w:val="22"/>
          <w:szCs w:val="22"/>
        </w:rPr>
        <w:t xml:space="preserve">zentrale Ziele des Pariser Abkommens nennen und konkrete Klimaschutzmaßnahmen benennen.</w:t>
      </w:r>
    </w:p>
    <w:p>
      <w:pPr>
        <w:spacing w:after="60" w:before="0"/>
      </w:pPr>
      <w:r>
        <w:t xml:space="preserve"/>
      </w:r>
    </w:p>
    <w:p>
      <w:pPr>
        <w:pStyle w:val="Heading3"/>
        <w:spacing w:after="60" w:before="200"/>
      </w:pPr>
      <w:r>
        <w:rPr>
          <w:rFonts w:ascii="Arial" w:cs="Arial" w:eastAsia="Arial" w:hAnsi="Arial"/>
          <w:b/>
          <w:bCs/>
          <w:color w:val="1A3A5C"/>
          <w:sz w:val="22"/>
          <w:szCs w:val="22"/>
        </w:rPr>
        <w:t xml:space="preserve">Überfachliche Lernziele</w:t>
      </w:r>
    </w:p>
    <w:p>
      <w:pPr>
        <w:pStyle w:val="ListParagraph"/>
        <w:numPr>
          <w:ilvl w:val="0"/>
          <w:numId w:val="3"/>
        </w:numPr>
        <w:spacing w:after="40" w:before="40"/>
      </w:pPr>
      <w:r>
        <w:rPr>
          <w:rFonts w:ascii="Arial" w:cs="Arial" w:eastAsia="Arial" w:hAnsi="Arial"/>
          <w:sz w:val="22"/>
          <w:szCs w:val="22"/>
        </w:rPr>
        <w:t xml:space="preserve">kooperativ arbeiten und im Team über Lösungsstrategien kommunizieren (Team- und Kommunikationskompetenz).</w:t>
      </w:r>
    </w:p>
    <w:p>
      <w:pPr>
        <w:pStyle w:val="ListParagraph"/>
        <w:numPr>
          <w:ilvl w:val="0"/>
          <w:numId w:val="3"/>
        </w:numPr>
        <w:spacing w:after="40" w:before="40"/>
      </w:pPr>
      <w:r>
        <w:rPr>
          <w:rFonts w:ascii="Arial" w:cs="Arial" w:eastAsia="Arial" w:hAnsi="Arial"/>
          <w:sz w:val="22"/>
          <w:szCs w:val="22"/>
        </w:rPr>
        <w:t xml:space="preserve">Informationen aus Sachtexten und Diagrammen gezielt entnehmen (Lesekompetenz).</w:t>
      </w:r>
    </w:p>
    <w:p>
      <w:pPr>
        <w:pStyle w:val="ListParagraph"/>
        <w:numPr>
          <w:ilvl w:val="0"/>
          <w:numId w:val="3"/>
        </w:numPr>
        <w:spacing w:after="40" w:before="40"/>
      </w:pPr>
      <w:r>
        <w:rPr>
          <w:rFonts w:ascii="Arial" w:cs="Arial" w:eastAsia="Arial" w:hAnsi="Arial"/>
          <w:sz w:val="22"/>
          <w:szCs w:val="22"/>
        </w:rPr>
        <w:t xml:space="preserve">unbekannte Problemstellungen durch Kombination von Vorwissen und neu erarbeiteten Informationen lösen (Problemlösekompetenz).</w:t>
      </w:r>
    </w:p>
    <w:p>
      <w:pPr>
        <w:pStyle w:val="ListParagraph"/>
        <w:numPr>
          <w:ilvl w:val="0"/>
          <w:numId w:val="3"/>
        </w:numPr>
        <w:spacing w:after="40" w:before="40"/>
      </w:pPr>
      <w:r>
        <w:rPr>
          <w:rFonts w:ascii="Arial" w:cs="Arial" w:eastAsia="Arial" w:hAnsi="Arial"/>
          <w:sz w:val="22"/>
          <w:szCs w:val="22"/>
        </w:rPr>
        <w:t xml:space="preserve">sich selbst organisieren, Aufgaben verteilen und den Lernprozess reflektieren (Selbstorganisationskompetenz).</w:t>
      </w:r>
    </w:p>
    <w:p>
      <w:pPr>
        <w:spacing w:after="80" w:before="0"/>
      </w:pPr>
      <w:r>
        <w:t xml:space="preserve"/>
      </w:r>
    </w:p>
    <w:p>
      <w:pPr>
        <w:pStyle w:val="Heading2"/>
        <w:spacing w:after="80" w:before="280"/>
      </w:pPr>
      <w:r>
        <w:rPr>
          <w:rFonts w:ascii="Arial" w:cs="Arial" w:eastAsia="Arial" w:hAnsi="Arial"/>
          <w:b/>
          <w:bCs/>
          <w:color w:val="2E6FA3"/>
          <w:sz w:val="26"/>
          <w:szCs w:val="26"/>
        </w:rPr>
        <w:t xml:space="preserve">2.3  Einbettung in die Unterrichtssequenz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FA3" w:sz="4"/>
              <w:left w:val="single" w:color="2E6FA3" w:sz="4"/>
              <w:bottom w:val="single" w:color="2E6FA3" w:sz="4"/>
              <w:right w:val="single" w:color="2E6FA3" w:sz="4"/>
            </w:tcBorders>
            <w:shd w:fill="2E6FA3" w:val="clear"/>
            <w:tcMar>
              <w:top w:type="dxa" w:w="80"/>
              <w:left w:type="dxa" w:w="120"/>
              <w:bottom w:type="dxa" w:w="80"/>
              <w:right w:type="dxa" w:w="120"/>
            </w:tcMar>
          </w:tcPr>
          <w:p>
            <w:r>
              <w:rPr>
                <w:rFonts w:ascii="Arial" w:cs="Arial" w:eastAsia="Arial" w:hAnsi="Arial"/>
                <w:b/>
                <w:bCs/>
                <w:color w:val="FFFFFF"/>
                <w:sz w:val="22"/>
                <w:szCs w:val="22"/>
              </w:rPr>
              <w:t xml:space="preserve">Empfohlene Einbettung</w:t>
            </w:r>
          </w:p>
        </w:tc>
      </w:tr>
      <w:tr>
        <w:tc>
          <w:tcPr>
            <w:tcW w:type="dxa" w:w="9026"/>
            <w:tcBorders>
              <w:top w:val="single" w:color="2E6FA3" w:sz="4"/>
              <w:left w:val="single" w:color="2E6FA3" w:sz="4"/>
              <w:bottom w:val="single" w:color="2E6FA3" w:sz="4"/>
              <w:right w:val="single" w:color="2E6FA3" w:sz="4"/>
            </w:tcBorders>
            <w:shd w:fill="D6E9F8" w:val="clear"/>
            <w:tcMar>
              <w:top w:type="dxa" w:w="60"/>
              <w:left w:type="dxa" w:w="120"/>
              <w:bottom w:type="dxa" w:w="60"/>
              <w:right w:type="dxa" w:w="120"/>
            </w:tcMar>
          </w:tcPr>
          <w:p>
            <w:pPr>
              <w:spacing w:after="40" w:before="40"/>
            </w:pPr>
            <w:r>
              <w:rPr>
                <w:rFonts w:ascii="Arial" w:cs="Arial" w:eastAsia="Arial" w:hAnsi="Arial"/>
                <w:sz w:val="22"/>
                <w:szCs w:val="22"/>
              </w:rPr>
              <w:t xml:space="preserve">→  Advance Organizer: Kapitel 7 des Schulbuchs (S. 136–159) wird vorab als Lesehausaufgabe gegeben oder im regulären Unterricht erarbeitet.</w:t>
            </w:r>
          </w:p>
        </w:tc>
      </w:tr>
      <w:tr>
        <w:tc>
          <w:tcPr>
            <w:tcW w:type="dxa" w:w="9026"/>
            <w:tcBorders>
              <w:top w:val="single" w:color="2E6FA3" w:sz="4"/>
              <w:left w:val="single" w:color="2E6FA3" w:sz="4"/>
              <w:bottom w:val="single" w:color="2E6FA3" w:sz="4"/>
              <w:right w:val="single" w:color="2E6FA3" w:sz="4"/>
            </w:tcBorders>
            <w:shd w:fill="D6E9F8" w:val="clear"/>
            <w:tcMar>
              <w:top w:type="dxa" w:w="60"/>
              <w:left w:type="dxa" w:w="120"/>
              <w:bottom w:type="dxa" w:w="60"/>
              <w:right w:type="dxa" w:w="120"/>
            </w:tcMar>
          </w:tcPr>
          <w:p>
            <w:pPr>
              <w:spacing w:after="40" w:before="40"/>
            </w:pPr>
            <w:r>
              <w:rPr>
                <w:rFonts w:ascii="Arial" w:cs="Arial" w:eastAsia="Arial" w:hAnsi="Arial"/>
                <w:sz w:val="22"/>
                <w:szCs w:val="22"/>
              </w:rPr>
              <w:t xml:space="preserve">→  Escape Room: Dient als vertiefende Anwendungs- und Übungsphase nach der inhaltlichen Erarbeitung.</w:t>
            </w:r>
          </w:p>
        </w:tc>
      </w:tr>
      <w:tr>
        <w:tc>
          <w:tcPr>
            <w:tcW w:type="dxa" w:w="9026"/>
            <w:tcBorders>
              <w:top w:val="single" w:color="2E6FA3" w:sz="4"/>
              <w:left w:val="single" w:color="2E6FA3" w:sz="4"/>
              <w:bottom w:val="single" w:color="2E6FA3" w:sz="4"/>
              <w:right w:val="single" w:color="2E6FA3" w:sz="4"/>
            </w:tcBorders>
            <w:shd w:fill="D6E9F8" w:val="clear"/>
            <w:tcMar>
              <w:top w:type="dxa" w:w="60"/>
              <w:left w:type="dxa" w:w="120"/>
              <w:bottom w:type="dxa" w:w="60"/>
              <w:right w:type="dxa" w:w="120"/>
            </w:tcMar>
          </w:tcPr>
          <w:p>
            <w:pPr>
              <w:spacing w:after="40" w:before="40"/>
            </w:pPr>
            <w:r>
              <w:rPr>
                <w:rFonts w:ascii="Arial" w:cs="Arial" w:eastAsia="Arial" w:hAnsi="Arial"/>
                <w:sz w:val="22"/>
                <w:szCs w:val="22"/>
              </w:rPr>
              <w:t xml:space="preserve">→  Sicherungsphase: Debriefing und Reflexion im Anschluss; ggf. Kurztest oder Lernplakat als Leistungsnachweise.</w:t>
            </w:r>
          </w:p>
        </w:tc>
      </w:tr>
    </w:tbl>
    <w:p>
      <w:r>
        <w:br w:type="page"/>
      </w:r>
    </w:p>
    <w:p>
      <w:pPr>
        <w:pStyle w:val="Heading1"/>
        <w:spacing w:after="120" w:before="360"/>
      </w:pPr>
      <w:r>
        <w:rPr>
          <w:rFonts w:ascii="Arial" w:cs="Arial" w:eastAsia="Arial" w:hAnsi="Arial"/>
          <w:b/>
          <w:bCs/>
          <w:color w:val="1A3A5C"/>
          <w:sz w:val="32"/>
          <w:szCs w:val="32"/>
        </w:rPr>
        <w:t xml:space="preserve">3  Pädagogische Entscheidungen</w:t>
      </w:r>
    </w:p>
    <w:p>
      <w:pPr>
        <w:pStyle w:val="Heading2"/>
        <w:spacing w:after="80" w:before="280"/>
      </w:pPr>
      <w:r>
        <w:rPr>
          <w:rFonts w:ascii="Arial" w:cs="Arial" w:eastAsia="Arial" w:hAnsi="Arial"/>
          <w:b/>
          <w:bCs/>
          <w:color w:val="2E6FA3"/>
          <w:sz w:val="26"/>
          <w:szCs w:val="26"/>
        </w:rPr>
        <w:t xml:space="preserve">3.1  Methodenwahl: Game-Based Learning mit Escape Room</w:t>
      </w:r>
    </w:p>
    <w:p>
      <w:pPr>
        <w:spacing w:after="100" w:before="60"/>
        <w:jc w:val="both"/>
      </w:pPr>
      <w:r>
        <w:rPr>
          <w:rFonts w:ascii="Arial" w:cs="Arial" w:eastAsia="Arial" w:hAnsi="Arial"/>
          <w:color w:val="000000"/>
          <w:sz w:val="22"/>
          <w:szCs w:val="22"/>
        </w:rPr>
        <w:t xml:space="preserve">Edu-Escape Rooms kombinieren Elemente des spielbasierten Lernens (Game-Based Learning) mit kooperativem Problemlösen. Studien (Dewi et al. 2025; Köse &amp; Özcan 2025) belegen signifikant erhöhte Motivation und Zufriedenheit. Vorteile: intrinsische Motivation durch Wettbewerbs- und Rätselsituation; aktives und entdeckendes Lernen (Konstruktivismus); authentischer Textumgang (Schulbuch gezielt lesen); dreistufiges Hinweissystem zur Differenzierung; Flow-Erleben durch progressiven Aufbau.</w:t>
      </w:r>
    </w:p>
    <w:p>
      <w:pPr>
        <w:spacing w:after="80" w:before="0"/>
      </w:pPr>
      <w:r>
        <w:t xml:space="preserve"/>
      </w:r>
    </w:p>
    <w:p>
      <w:pPr>
        <w:pStyle w:val="Heading2"/>
        <w:spacing w:after="80" w:before="280"/>
      </w:pPr>
      <w:r>
        <w:rPr>
          <w:rFonts w:ascii="Arial" w:cs="Arial" w:eastAsia="Arial" w:hAnsi="Arial"/>
          <w:b/>
          <w:bCs/>
          <w:color w:val="2E6FA3"/>
          <w:sz w:val="26"/>
          <w:szCs w:val="26"/>
        </w:rPr>
        <w:t xml:space="preserve">3.2  Entscheidung gegen einen Countdown-Timer</w:t>
      </w:r>
    </w:p>
    <w:p>
      <w:pPr>
        <w:spacing w:after="100" w:before="60"/>
        <w:jc w:val="both"/>
      </w:pPr>
      <w:r>
        <w:rPr>
          <w:rFonts w:ascii="Arial" w:cs="Arial" w:eastAsia="Arial" w:hAnsi="Arial"/>
          <w:color w:val="000000"/>
          <w:sz w:val="22"/>
          <w:szCs w:val="22"/>
        </w:rPr>
        <w:t xml:space="preserve">Bewusst wurde auf einen ablaufenden Countdown verzichtet. Stattdessen läuft eine Stoppuhr aufwärts:</w:t>
      </w:r>
    </w:p>
    <w:p>
      <w:pPr>
        <w:pStyle w:val="ListParagraph"/>
        <w:numPr>
          <w:ilvl w:val="0"/>
          <w:numId w:val="2"/>
        </w:numPr>
        <w:spacing w:after="40" w:before="40"/>
      </w:pPr>
      <w:r>
        <w:rPr>
          <w:rFonts w:ascii="Arial" w:cs="Arial" w:eastAsia="Arial" w:hAnsi="Arial"/>
          <w:sz w:val="22"/>
          <w:szCs w:val="22"/>
        </w:rPr>
        <w:t xml:space="preserve">Heterogenität der Klasse: Unterschiedliche Leistungsniveaus machen einen starren Zeitrahmen pädagogisch problematisch.</w:t>
      </w:r>
    </w:p>
    <w:p>
      <w:pPr>
        <w:pStyle w:val="ListParagraph"/>
        <w:numPr>
          <w:ilvl w:val="0"/>
          <w:numId w:val="2"/>
        </w:numPr>
        <w:spacing w:after="40" w:before="40"/>
      </w:pPr>
      <w:r>
        <w:rPr>
          <w:rFonts w:ascii="Arial" w:cs="Arial" w:eastAsia="Arial" w:hAnsi="Arial"/>
          <w:sz w:val="22"/>
          <w:szCs w:val="22"/>
        </w:rPr>
        <w:t xml:space="preserve">Mehrstiundige Nutzung: Die Fortsetzungsfunktion ermöglicht Verteilung auf mehrere Unterrichtsstunden.</w:t>
      </w:r>
    </w:p>
    <w:p>
      <w:pPr>
        <w:pStyle w:val="ListParagraph"/>
        <w:numPr>
          <w:ilvl w:val="0"/>
          <w:numId w:val="2"/>
        </w:numPr>
        <w:spacing w:after="40" w:before="40"/>
      </w:pPr>
      <w:r>
        <w:rPr>
          <w:rFonts w:ascii="Arial" w:cs="Arial" w:eastAsia="Arial" w:hAnsi="Arial"/>
          <w:sz w:val="22"/>
          <w:szCs w:val="22"/>
        </w:rPr>
        <w:t xml:space="preserve">Wettbewerb über Vergleich statt Druck: Teams vergleichen ihre Endzeiten; Motivation entsteht durch sozialen Vergleich.</w:t>
      </w:r>
    </w:p>
    <w:p>
      <w:pPr>
        <w:spacing w:after="80" w:before="0"/>
      </w:pPr>
      <w:r>
        <w:t xml:space="preserve"/>
      </w:r>
    </w:p>
    <w:p>
      <w:pPr>
        <w:pStyle w:val="Heading2"/>
        <w:spacing w:after="80" w:before="280"/>
      </w:pPr>
      <w:r>
        <w:rPr>
          <w:rFonts w:ascii="Arial" w:cs="Arial" w:eastAsia="Arial" w:hAnsi="Arial"/>
          <w:b/>
          <w:bCs/>
          <w:color w:val="2E6FA3"/>
          <w:sz w:val="26"/>
          <w:szCs w:val="26"/>
        </w:rPr>
        <w:t xml:space="preserve">3.3  Progressiver Aufgabenaufbau</w:t>
      </w:r>
    </w:p>
    <w:p>
      <w:pPr>
        <w:spacing w:after="100" w:before="60"/>
        <w:jc w:val="both"/>
      </w:pPr>
      <w:r>
        <w:rPr>
          <w:rFonts w:ascii="Arial" w:cs="Arial" w:eastAsia="Arial" w:hAnsi="Arial"/>
          <w:color w:val="000000"/>
          <w:sz w:val="22"/>
          <w:szCs w:val="22"/>
        </w:rPr>
        <w:t xml:space="preserve">Schritt 3 jedes Raums wird erst sichtbar, wenn Schritt 1 und Schritt 2 korrekt abgeschlossen wurden. Ziele: (1) Scaffolding – Schülerinnen und Schüler werden nicht von allen Aufgaben auf einmal überwältigt; (2) Fehlervermeidung – keine Lösungen können eingegeben werden, bevor die inhaltliche Auseinandersetzung stattgefunden hat.</w:t>
      </w:r>
    </w:p>
    <w:p>
      <w:pPr>
        <w:spacing w:after="80" w:before="0"/>
      </w:pPr>
      <w:r>
        <w:t xml:space="preserve"/>
      </w:r>
    </w:p>
    <w:p>
      <w:pPr>
        <w:pStyle w:val="Heading2"/>
        <w:spacing w:after="80" w:before="280"/>
      </w:pPr>
      <w:r>
        <w:rPr>
          <w:rFonts w:ascii="Arial" w:cs="Arial" w:eastAsia="Arial" w:hAnsi="Arial"/>
          <w:b/>
          <w:bCs/>
          <w:color w:val="2E6FA3"/>
          <w:sz w:val="26"/>
          <w:szCs w:val="26"/>
        </w:rPr>
        <w:t xml:space="preserve">3.4  Teamgröße und Rollenverteilung</w:t>
      </w:r>
    </w:p>
    <w:p>
      <w:pPr>
        <w:spacing w:after="100" w:before="60"/>
        <w:jc w:val="both"/>
      </w:pPr>
      <w:r>
        <w:rPr>
          <w:rFonts w:ascii="Arial" w:cs="Arial" w:eastAsia="Arial" w:hAnsi="Arial"/>
          <w:color w:val="000000"/>
          <w:sz w:val="22"/>
          <w:szCs w:val="22"/>
        </w:rPr>
        <w:t xml:space="preserve">Empfohlen werden Teams von 3–4 Schülerinnen und Schülern. Sinnvolle Arbeitsteilung: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Rolle</w:t>
            </w:r>
          </w:p>
        </w:tc>
        <w:tc>
          <w:tcPr>
            <w:tcW w:type="dxa" w:w="6526"/>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Aufgabe</w:t>
            </w:r>
          </w:p>
        </w:tc>
      </w:tr>
      <w:tr>
        <w:tc>
          <w:tcPr>
            <w:tcW w:type="dxa" w:w="25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Buchexpert*in</w:t>
            </w:r>
          </w:p>
        </w:tc>
        <w:tc>
          <w:tcPr>
            <w:tcW w:type="dxa" w:w="65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Schlägt im Schulbuch nach, liest Textstellen vor und erklärt Zusammenhänge</w:t>
            </w:r>
          </w:p>
        </w:tc>
      </w:tr>
      <w:tr>
        <w:tc>
          <w:tcPr>
            <w:tcW w:type="dxa" w:w="25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Eingabe-Operator*in</w:t>
            </w:r>
          </w:p>
        </w:tc>
        <w:tc>
          <w:tcPr>
            <w:tcW w:type="dxa" w:w="6526"/>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Bedient den Computer/das Tablet, klickt und gibt Antworten ein</w:t>
            </w:r>
          </w:p>
        </w:tc>
      </w:tr>
      <w:tr>
        <w:tc>
          <w:tcPr>
            <w:tcW w:type="dxa" w:w="25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Protokollant*in</w:t>
            </w:r>
          </w:p>
        </w:tc>
        <w:tc>
          <w:tcPr>
            <w:tcW w:type="dxa" w:w="65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Notiert freigeschaltete Tresor-Ziffern und beobachtet die Laufzeit</w:t>
            </w:r>
          </w:p>
        </w:tc>
      </w:tr>
      <w:tr>
        <w:tc>
          <w:tcPr>
            <w:tcW w:type="dxa" w:w="25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Strateg*in</w:t>
            </w:r>
          </w:p>
        </w:tc>
        <w:tc>
          <w:tcPr>
            <w:tcW w:type="dxa" w:w="6526"/>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Koordiniert das Team, fordert Hinweise an, behält den Überblick</w:t>
            </w:r>
          </w:p>
        </w:tc>
      </w:tr>
    </w:tbl>
    <w:p>
      <w:pPr>
        <w:spacing w:after="80" w:before="0"/>
      </w:pPr>
      <w:r>
        <w:t xml:space="preserve"/>
      </w:r>
    </w:p>
    <w:p>
      <w:pPr>
        <w:pStyle w:val="Heading2"/>
        <w:spacing w:after="80" w:before="280"/>
      </w:pPr>
      <w:r>
        <w:rPr>
          <w:rFonts w:ascii="Arial" w:cs="Arial" w:eastAsia="Arial" w:hAnsi="Arial"/>
          <w:b/>
          <w:bCs/>
          <w:color w:val="2E6FA3"/>
          <w:sz w:val="26"/>
          <w:szCs w:val="26"/>
        </w:rPr>
        <w:t xml:space="preserve">3.5  Tresor-Ziffern und die Bedeutung des Notierens</w:t>
      </w:r>
    </w:p>
    <w:p>
      <w:pPr>
        <w:spacing w:after="100" w:before="60"/>
        <w:jc w:val="both"/>
      </w:pPr>
      <w:r>
        <w:rPr>
          <w:rFonts w:ascii="Arial" w:cs="Arial" w:eastAsia="Arial" w:hAnsi="Arial"/>
          <w:color w:val="000000"/>
          <w:sz w:val="22"/>
          <w:szCs w:val="22"/>
        </w:rPr>
        <w:t xml:space="preserve">Die fünf Tresor-Ziffern werden nicht dauerhaft im Interface angezeigt. Sie erscheinen nur kurz nach dem Freischalten mit einem Hinweis „Schreibt diese Ziffer auf!“. Begründung:</w:t>
      </w:r>
    </w:p>
    <w:p>
      <w:pPr>
        <w:pStyle w:val="ListParagraph"/>
        <w:numPr>
          <w:ilvl w:val="0"/>
          <w:numId w:val="2"/>
        </w:numPr>
        <w:spacing w:after="40" w:before="40"/>
      </w:pPr>
      <w:r>
        <w:rPr>
          <w:rFonts w:ascii="Arial" w:cs="Arial" w:eastAsia="Arial" w:hAnsi="Arial"/>
          <w:sz w:val="22"/>
          <w:szCs w:val="22"/>
        </w:rPr>
        <w:t xml:space="preserve">Verantwortungsübernahme: Teams lernen, selbst Verantwortung für ihren Lernstand zu tragen.</w:t>
      </w:r>
    </w:p>
    <w:p>
      <w:pPr>
        <w:pStyle w:val="ListParagraph"/>
        <w:numPr>
          <w:ilvl w:val="0"/>
          <w:numId w:val="2"/>
        </w:numPr>
        <w:spacing w:after="40" w:before="40"/>
      </w:pPr>
      <w:r>
        <w:rPr>
          <w:rFonts w:ascii="Arial" w:cs="Arial" w:eastAsia="Arial" w:hAnsi="Arial"/>
          <w:sz w:val="22"/>
          <w:szCs w:val="22"/>
        </w:rPr>
        <w:t xml:space="preserve">Authentizität: Das Aufschreiben von Zwischenergebnissen ist eine grundlegende wissenschaftliche Arbeitsweise.</w:t>
      </w:r>
    </w:p>
    <w:p>
      <w:pPr>
        <w:pStyle w:val="ListParagraph"/>
        <w:numPr>
          <w:ilvl w:val="0"/>
          <w:numId w:val="2"/>
        </w:numPr>
        <w:spacing w:after="40" w:before="40"/>
      </w:pPr>
      <w:r>
        <w:rPr>
          <w:rFonts w:ascii="Arial" w:cs="Arial" w:eastAsia="Arial" w:hAnsi="Arial"/>
          <w:sz w:val="22"/>
          <w:szCs w:val="22"/>
        </w:rPr>
        <w:t xml:space="preserve">Motivationsfunktion: Die Ziffern dienen als sichtbarer Lernfortschritt und als „Speicherstand“ für die Folgestunde.</w:t>
      </w:r>
    </w:p>
    <w:p>
      <w:pPr>
        <w:spacing w:after="80" w:before="0"/>
      </w:pPr>
      <w:r>
        <w:t xml:space="preserve"/>
      </w:r>
    </w:p>
    <w:p>
      <w:pPr>
        <w:pStyle w:val="Heading2"/>
        <w:spacing w:after="80" w:before="280"/>
      </w:pPr>
      <w:r>
        <w:rPr>
          <w:rFonts w:ascii="Arial" w:cs="Arial" w:eastAsia="Arial" w:hAnsi="Arial"/>
          <w:b/>
          <w:bCs/>
          <w:color w:val="2E6FA3"/>
          <w:sz w:val="26"/>
          <w:szCs w:val="26"/>
        </w:rPr>
        <w:t xml:space="preserve">3.6  Debriefing als obligatorische Lernphase</w:t>
      </w:r>
    </w:p>
    <w:p>
      <w:pPr>
        <w:spacing w:after="100" w:before="60"/>
        <w:jc w:val="both"/>
      </w:pPr>
      <w:r>
        <w:rPr>
          <w:rFonts w:ascii="Arial" w:cs="Arial" w:eastAsia="Arial" w:hAnsi="Arial"/>
          <w:color w:val="000000"/>
          <w:sz w:val="22"/>
          <w:szCs w:val="22"/>
        </w:rPr>
        <w:t xml:space="preserve">Das Debriefing ist didaktisch unverzichtbar. Empfohlene Reflexionsfragen:</w:t>
      </w:r>
    </w:p>
    <w:p>
      <w:pPr>
        <w:pStyle w:val="ListParagraph"/>
        <w:numPr>
          <w:ilvl w:val="0"/>
          <w:numId w:val="2"/>
        </w:numPr>
        <w:spacing w:after="40" w:before="40"/>
      </w:pPr>
      <w:r>
        <w:rPr>
          <w:rFonts w:ascii="Arial" w:cs="Arial" w:eastAsia="Arial" w:hAnsi="Arial"/>
          <w:sz w:val="22"/>
          <w:szCs w:val="22"/>
        </w:rPr>
        <w:t xml:space="preserve">Welche Rätsel waren am schwierigsten? Warum?</w:t>
      </w:r>
    </w:p>
    <w:p>
      <w:pPr>
        <w:pStyle w:val="ListParagraph"/>
        <w:numPr>
          <w:ilvl w:val="0"/>
          <w:numId w:val="2"/>
        </w:numPr>
        <w:spacing w:after="40" w:before="40"/>
      </w:pPr>
      <w:r>
        <w:rPr>
          <w:rFonts w:ascii="Arial" w:cs="Arial" w:eastAsia="Arial" w:hAnsi="Arial"/>
          <w:sz w:val="22"/>
          <w:szCs w:val="22"/>
        </w:rPr>
        <w:t xml:space="preserve">Was habt ihr über den Klimawandel gelernt, was euch vorher nicht klar war?</w:t>
      </w:r>
    </w:p>
    <w:p>
      <w:pPr>
        <w:pStyle w:val="ListParagraph"/>
        <w:numPr>
          <w:ilvl w:val="0"/>
          <w:numId w:val="2"/>
        </w:numPr>
        <w:spacing w:after="40" w:before="40"/>
      </w:pPr>
      <w:r>
        <w:rPr>
          <w:rFonts w:ascii="Arial" w:cs="Arial" w:eastAsia="Arial" w:hAnsi="Arial"/>
          <w:sz w:val="22"/>
          <w:szCs w:val="22"/>
        </w:rPr>
        <w:t xml:space="preserve">Wie habt ihr als Team zusammengearbeitet? Was lief gut, was würdet ihr ändern?</w:t>
      </w:r>
    </w:p>
    <w:p>
      <w:pPr>
        <w:pStyle w:val="ListParagraph"/>
        <w:numPr>
          <w:ilvl w:val="0"/>
          <w:numId w:val="2"/>
        </w:numPr>
        <w:spacing w:after="40" w:before="40"/>
      </w:pPr>
      <w:r>
        <w:rPr>
          <w:rFonts w:ascii="Arial" w:cs="Arial" w:eastAsia="Arial" w:hAnsi="Arial"/>
          <w:sz w:val="22"/>
          <w:szCs w:val="22"/>
        </w:rPr>
        <w:t xml:space="preserve">Welche Fakten aus dem Spiel findet ihr am erschreckendsten / überraschendsten?</w:t>
      </w:r>
    </w:p>
    <w:p>
      <w:pPr>
        <w:spacing w:after="80" w:before="0"/>
      </w:pPr>
      <w:r>
        <w:t xml:space="preserve"/>
      </w:r>
    </w:p>
    <w:p>
      <w:pPr>
        <w:pStyle w:val="Heading2"/>
        <w:spacing w:after="80" w:before="280"/>
      </w:pPr>
      <w:r>
        <w:rPr>
          <w:rFonts w:ascii="Arial" w:cs="Arial" w:eastAsia="Arial" w:hAnsi="Arial"/>
          <w:b/>
          <w:bCs/>
          <w:color w:val="2E6FA3"/>
          <w:sz w:val="26"/>
          <w:szCs w:val="26"/>
        </w:rPr>
        <w:t xml:space="preserve">3.7  Datenschutz- und urheberrechtliche Entscheidungen</w:t>
      </w:r>
    </w:p>
    <w:p>
      <w:pPr>
        <w:spacing w:after="100" w:before="60"/>
        <w:jc w:val="both"/>
      </w:pPr>
      <w:r>
        <w:rPr>
          <w:rFonts w:ascii="Arial" w:cs="Arial" w:eastAsia="Arial" w:hAnsi="Arial"/>
          <w:color w:val="000000"/>
          <w:sz w:val="22"/>
          <w:szCs w:val="22"/>
        </w:rPr>
        <w:t xml:space="preserve">Beim Einsatz digitaler Lernmaterialien in der Schule sind Datenschutz und Urheberrecht verbindliche Rahmenbedingungen. Für diesen Escape Room wurden bewusst Entscheidungen getroffen, die beide Aspekte vollständig berücksichtigen.</w:t>
      </w:r>
    </w:p>
    <w:p>
      <w:pPr>
        <w:spacing w:after="60" w:before="0"/>
      </w:pPr>
      <w:r>
        <w:t xml:space="preserve"/>
      </w:r>
    </w:p>
    <w:p>
      <w:pPr>
        <w:pStyle w:val="Heading3"/>
        <w:spacing w:after="60" w:before="200"/>
      </w:pPr>
      <w:r>
        <w:rPr>
          <w:rFonts w:ascii="Arial" w:cs="Arial" w:eastAsia="Arial" w:hAnsi="Arial"/>
          <w:b/>
          <w:bCs/>
          <w:color w:val="1A3A5C"/>
          <w:sz w:val="22"/>
          <w:szCs w:val="22"/>
        </w:rPr>
        <w:t xml:space="preserve">Schriftarten – SIL Open Font License (OFL 1.1)</w:t>
      </w:r>
    </w:p>
    <w:p>
      <w:pPr>
        <w:spacing w:after="100" w:before="60"/>
        <w:jc w:val="both"/>
      </w:pPr>
      <w:r>
        <w:rPr>
          <w:rFonts w:ascii="Arial" w:cs="Arial" w:eastAsia="Arial" w:hAnsi="Arial"/>
          <w:color w:val="000000"/>
          <w:sz w:val="22"/>
          <w:szCs w:val="22"/>
        </w:rPr>
        <w:t xml:space="preserve">Der Escape Room verwendet drei Schriftarten, die alle unter der SIL Open Font License Version 1.1 stehen. Diese Lizenz erlaubt die freie Nutzung, Einbettung und Weitergabe – auch im schulischen und öffentlichen Kontext – ohne Lizenzgebühren: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2726"/>
      </w:tblGrid>
      <w:tr>
        <w:trPr>
          <w:tblHeader/>
        </w:trPr>
        <w:tc>
          <w:tcPr>
            <w:tcW w:type="dxa" w:w="25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Schriftart</w:t>
            </w:r>
          </w:p>
        </w:tc>
        <w:tc>
          <w:tcPr>
            <w:tcW w:type="dxa" w:w="38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Urheber</w:t>
            </w:r>
          </w:p>
        </w:tc>
        <w:tc>
          <w:tcPr>
            <w:tcW w:type="dxa" w:w="2726"/>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Lizenz</w:t>
            </w:r>
          </w:p>
        </w:tc>
      </w:tr>
      <w:tr>
        <w:tc>
          <w:tcPr>
            <w:tcW w:type="dxa" w:w="25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Orbitron</w:t>
            </w:r>
          </w:p>
        </w:tc>
        <w:tc>
          <w:tcPr>
            <w:tcW w:type="dxa" w:w="38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 2018 The Orbitron Project Authors</w:t>
            </w:r>
          </w:p>
        </w:tc>
        <w:tc>
          <w:tcPr>
            <w:tcW w:type="dxa" w:w="27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SIL Open Font License 1.1</w:t>
            </w:r>
          </w:p>
        </w:tc>
      </w:tr>
      <w:tr>
        <w:tc>
          <w:tcPr>
            <w:tcW w:type="dxa" w:w="25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JetBrains Mono</w:t>
            </w:r>
          </w:p>
        </w:tc>
        <w:tc>
          <w:tcPr>
            <w:tcW w:type="dxa" w:w="38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2020 The JetBrains Mono Project Authors</w:t>
            </w:r>
          </w:p>
        </w:tc>
        <w:tc>
          <w:tcPr>
            <w:tcW w:type="dxa" w:w="2726"/>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SIL Open Font License 1.1</w:t>
            </w:r>
          </w:p>
        </w:tc>
      </w:tr>
      <w:tr>
        <w:tc>
          <w:tcPr>
            <w:tcW w:type="dxa" w:w="25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Manrope</w:t>
            </w:r>
          </w:p>
        </w:tc>
        <w:tc>
          <w:tcPr>
            <w:tcW w:type="dxa" w:w="38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 2018 The Manrope Project Authors (M. Sharanda)</w:t>
            </w:r>
          </w:p>
        </w:tc>
        <w:tc>
          <w:tcPr>
            <w:tcW w:type="dxa" w:w="27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SIL Open Font License 1.1</w:t>
            </w:r>
          </w:p>
        </w:tc>
      </w:tr>
    </w:tbl>
    <w:p>
      <w:pPr>
        <w:spacing w:after="60" w:before="0"/>
      </w:pPr>
      <w:r>
        <w:t xml:space="preserve"/>
      </w:r>
    </w:p>
    <w:p>
      <w:pPr>
        <w:pStyle w:val="Heading3"/>
        <w:spacing w:after="60" w:before="200"/>
      </w:pPr>
      <w:r>
        <w:rPr>
          <w:rFonts w:ascii="Arial" w:cs="Arial" w:eastAsia="Arial" w:hAnsi="Arial"/>
          <w:b/>
          <w:bCs/>
          <w:color w:val="1A3A5C"/>
          <w:sz w:val="22"/>
          <w:szCs w:val="22"/>
        </w:rPr>
        <w:t xml:space="preserve">DSGVO-Konformität – Keine externen Serveranfragen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6E3C" w:sz="4"/>
              <w:left w:val="single" w:color="1E6E3C" w:sz="4"/>
              <w:bottom w:val="single" w:color="1E6E3C" w:sz="4"/>
              <w:right w:val="single" w:color="1E6E3C" w:sz="4"/>
            </w:tcBorders>
            <w:shd w:fill="2E6FA3" w:val="clear"/>
            <w:tcMar>
              <w:top w:type="dxa" w:w="80"/>
              <w:left w:type="dxa" w:w="120"/>
              <w:bottom w:type="dxa" w:w="80"/>
              <w:right w:type="dxa" w:w="120"/>
            </w:tcMar>
          </w:tcPr>
          <w:p>
            <w:r>
              <w:rPr>
                <w:rFonts w:ascii="Arial" w:cs="Arial" w:eastAsia="Arial" w:hAnsi="Arial"/>
                <w:b/>
                <w:bCs/>
                <w:color w:val="FFFFFF"/>
                <w:sz w:val="22"/>
                <w:szCs w:val="22"/>
              </w:rPr>
              <w:t xml:space="preserve">✓  DSGVO-konform: Alle Schriften lokal eingebettet</w:t>
            </w:r>
          </w:p>
        </w:tc>
      </w:tr>
      <w:tr>
        <w:tc>
          <w:tcPr>
            <w:tcW w:type="dxa" w:w="9026"/>
            <w:tcBorders>
              <w:top w:val="single" w:color="1E6E3C" w:sz="4"/>
              <w:left w:val="single" w:color="1E6E3C" w:sz="4"/>
              <w:bottom w:val="single" w:color="1E6E3C" w:sz="4"/>
              <w:right w:val="single" w:color="1E6E3C" w:sz="4"/>
            </w:tcBorders>
            <w:shd w:fill="E8F5EE" w:val="clear"/>
            <w:tcMar>
              <w:top w:type="dxa" w:w="60"/>
              <w:left w:type="dxa" w:w="120"/>
              <w:bottom w:type="dxa" w:w="60"/>
              <w:right w:type="dxa" w:w="120"/>
            </w:tcMar>
          </w:tcPr>
          <w:p>
            <w:pPr>
              <w:spacing w:after="40" w:before="40"/>
            </w:pPr>
            <w:r>
              <w:rPr>
                <w:rFonts w:ascii="Arial" w:cs="Arial" w:eastAsia="Arial" w:hAnsi="Arial"/>
                <w:sz w:val="22"/>
                <w:szCs w:val="22"/>
              </w:rPr>
              <w:t xml:space="preserve">Alle drei Schriftarten sind als Base64-kodierte Daten direkt in die HTML-Datei eingebettet (via @font-face mit data:-URI). Die Seite stellt keinerlei externe Netzwerkanfragen.</w:t>
            </w:r>
          </w:p>
        </w:tc>
      </w:tr>
      <w:tr>
        <w:tc>
          <w:tcPr>
            <w:tcW w:type="dxa" w:w="9026"/>
            <w:tcBorders>
              <w:top w:val="single" w:color="1E6E3C" w:sz="4"/>
              <w:left w:val="single" w:color="1E6E3C" w:sz="4"/>
              <w:bottom w:val="single" w:color="1E6E3C" w:sz="4"/>
              <w:right w:val="single" w:color="1E6E3C" w:sz="4"/>
            </w:tcBorders>
            <w:shd w:fill="E8F5EE" w:val="clear"/>
            <w:tcMar>
              <w:top w:type="dxa" w:w="60"/>
              <w:left w:type="dxa" w:w="120"/>
              <w:bottom w:type="dxa" w:w="60"/>
              <w:right w:type="dxa" w:w="120"/>
            </w:tcMar>
          </w:tcPr>
          <w:p>
            <w:pPr>
              <w:spacing w:after="40" w:before="40"/>
            </w:pPr>
            <w:r>
              <w:rPr>
                <w:rFonts w:ascii="Arial" w:cs="Arial" w:eastAsia="Arial" w:hAnsi="Arial"/>
                <w:sz w:val="22"/>
                <w:szCs w:val="22"/>
              </w:rPr>
              <w:t xml:space="preserve">Schülerdaten (IP-Adressen, Nutzungsverhalten) werden zu keinem Zeitpunkt an Dritte übermittelt. Die Datei ist vollständig offline-fähig und benötigt keine Internetverbindung.</w:t>
            </w:r>
          </w:p>
        </w:tc>
      </w:tr>
      <w:tr>
        <w:tc>
          <w:tcPr>
            <w:tcW w:type="dxa" w:w="9026"/>
            <w:tcBorders>
              <w:top w:val="single" w:color="1E6E3C" w:sz="4"/>
              <w:left w:val="single" w:color="1E6E3C" w:sz="4"/>
              <w:bottom w:val="single" w:color="1E6E3C" w:sz="4"/>
              <w:right w:val="single" w:color="1E6E3C" w:sz="4"/>
            </w:tcBorders>
            <w:shd w:fill="E8F5EE" w:val="clear"/>
            <w:tcMar>
              <w:top w:type="dxa" w:w="60"/>
              <w:left w:type="dxa" w:w="120"/>
              <w:bottom w:type="dxa" w:w="60"/>
              <w:right w:type="dxa" w:w="120"/>
            </w:tcMar>
          </w:tcPr>
          <w:p>
            <w:pPr>
              <w:spacing w:after="40" w:before="40"/>
            </w:pPr>
            <w:r>
              <w:rPr>
                <w:rFonts w:ascii="Arial" w:cs="Arial" w:eastAsia="Arial" w:hAnsi="Arial"/>
                <w:sz w:val="22"/>
                <w:szCs w:val="22"/>
              </w:rPr>
              <w:t xml:space="preserve">Nachweis: Eine Inspektion der HTML-Datei zeigt keine einzige externe URL außer dem W3C-Namespace (w3.org/2000/svg), der keinerlei Datenübertragung auslöst.</w:t>
            </w:r>
          </w:p>
        </w:tc>
      </w:tr>
    </w:tbl>
    <w:p>
      <w:pPr>
        <w:spacing w:after="60" w:before="0"/>
      </w:pPr>
      <w:r>
        <w:t xml:space="preserve"/>
      </w:r>
    </w:p>
    <w:p>
      <w:pPr>
        <w:pStyle w:val="Heading3"/>
        <w:spacing w:after="60" w:before="200"/>
      </w:pPr>
      <w:r>
        <w:rPr>
          <w:rFonts w:ascii="Arial" w:cs="Arial" w:eastAsia="Arial" w:hAnsi="Arial"/>
          <w:b/>
          <w:bCs/>
          <w:color w:val="1A3A5C"/>
          <w:sz w:val="22"/>
          <w:szCs w:val="22"/>
        </w:rPr>
        <w:t xml:space="preserve">Urheberrecht – Grafiken und Diagramme</w:t>
      </w:r>
    </w:p>
    <w:p>
      <w:pPr>
        <w:pStyle w:val="ListParagraph"/>
        <w:numPr>
          <w:ilvl w:val="0"/>
          <w:numId w:val="2"/>
        </w:numPr>
        <w:spacing w:after="40" w:before="40"/>
      </w:pPr>
      <w:r>
        <w:rPr>
          <w:rFonts w:ascii="Arial" w:cs="Arial" w:eastAsia="Arial" w:hAnsi="Arial"/>
          <w:sz w:val="22"/>
          <w:szCs w:val="22"/>
        </w:rPr>
        <w:t xml:space="preserve">Alle visuellen Elemente (Logo, Animationen, Dekoration) sind als inline SVG-Code direkt in der HTML-Datei programmiert – keine Bilddateien, keine Cliparts, keine Icons von Drittanbietern.</w:t>
      </w:r>
    </w:p>
    <w:p>
      <w:pPr>
        <w:pStyle w:val="ListParagraph"/>
        <w:numPr>
          <w:ilvl w:val="0"/>
          <w:numId w:val="2"/>
        </w:numPr>
        <w:spacing w:after="40" w:before="40"/>
      </w:pPr>
      <w:r>
        <w:rPr>
          <w:rFonts w:ascii="Arial" w:cs="Arial" w:eastAsia="Arial" w:hAnsi="Arial"/>
          <w:sz w:val="22"/>
          <w:szCs w:val="22"/>
        </w:rPr>
        <w:t xml:space="preserve">Die Klimadiagramme (Temperaturabweichung seit 1881, Meeresspiegelanstieg) sind eigene SVG-Darstellungen auf Basis öffentlich zugänglicher NOAA-Klimadaten. Sie reproduzieren keine urheberrechtlich geschützten Abbildungen aus dem Schulbuch.</w:t>
      </w:r>
    </w:p>
    <w:p>
      <w:pPr>
        <w:pStyle w:val="ListParagraph"/>
        <w:numPr>
          <w:ilvl w:val="0"/>
          <w:numId w:val="2"/>
        </w:numPr>
        <w:spacing w:after="40" w:before="40"/>
      </w:pPr>
      <w:r>
        <w:rPr>
          <w:rFonts w:ascii="Arial" w:cs="Arial" w:eastAsia="Arial" w:hAnsi="Arial"/>
          <w:sz w:val="22"/>
          <w:szCs w:val="22"/>
        </w:rPr>
        <w:t xml:space="preserve">Es sind keine externen Bibliotheken, Frameworks oder CDN-Ressourcen eingebunden.</w:t>
      </w:r>
    </w:p>
    <w:p>
      <w:pPr>
        <w:spacing w:after="60" w:before="0"/>
      </w:pPr>
      <w:r>
        <w:t xml:space="preserve"/>
      </w:r>
    </w:p>
    <w:p>
      <w:pPr>
        <w:pStyle w:val="Heading3"/>
        <w:spacing w:after="60" w:before="200"/>
      </w:pPr>
      <w:r>
        <w:rPr>
          <w:rFonts w:ascii="Arial" w:cs="Arial" w:eastAsia="Arial" w:hAnsi="Arial"/>
          <w:b/>
          <w:bCs/>
          <w:color w:val="1A3A5C"/>
          <w:sz w:val="22"/>
          <w:szCs w:val="22"/>
        </w:rPr>
        <w:t xml:space="preserve">Urheberrecht – Schulbuchinhalte</w:t>
      </w:r>
    </w:p>
    <w:p>
      <w:pPr>
        <w:pStyle w:val="ListParagraph"/>
        <w:numPr>
          <w:ilvl w:val="0"/>
          <w:numId w:val="2"/>
        </w:numPr>
        <w:spacing w:after="40" w:before="40"/>
      </w:pPr>
      <w:r>
        <w:rPr>
          <w:rFonts w:ascii="Arial" w:cs="Arial" w:eastAsia="Arial" w:hAnsi="Arial"/>
          <w:sz w:val="22"/>
          <w:szCs w:val="22"/>
        </w:rPr>
        <w:t xml:space="preserve">Kein Fließtext aus dem Lehrbuch wird wörtlich wiedergegeben. Die Aufgaben enthalten lediglich eigene Frageformulierungen sowie präzise Seitenangaben (z. B. „S. 138, T1“).</w:t>
      </w:r>
    </w:p>
    <w:p>
      <w:pPr>
        <w:pStyle w:val="ListParagraph"/>
        <w:numPr>
          <w:ilvl w:val="0"/>
          <w:numId w:val="2"/>
        </w:numPr>
        <w:spacing w:after="40" w:before="40"/>
      </w:pPr>
      <w:r>
        <w:rPr>
          <w:rFonts w:ascii="Arial" w:cs="Arial" w:eastAsia="Arial" w:hAnsi="Arial"/>
          <w:sz w:val="22"/>
          <w:szCs w:val="22"/>
        </w:rPr>
        <w:t xml:space="preserve">Die Schülerinnen und Schüler müssen das Schulbuch selbst lesen, um die Rätsel lösen zu können.</w:t>
      </w:r>
    </w:p>
    <w:p>
      <w:pPr>
        <w:pStyle w:val="ListParagraph"/>
        <w:numPr>
          <w:ilvl w:val="0"/>
          <w:numId w:val="2"/>
        </w:numPr>
        <w:spacing w:after="40" w:before="40"/>
      </w:pPr>
      <w:r>
        <w:rPr>
          <w:rFonts w:ascii="Arial" w:cs="Arial" w:eastAsia="Arial" w:hAnsi="Arial"/>
          <w:sz w:val="22"/>
          <w:szCs w:val="22"/>
        </w:rPr>
        <w:t xml:space="preserve">Diese Form der Nutzung ist nach § 60a UrhG (Unterricht und Lehre) als zulässig einzustufen, da Inhalte zur Veranschaulichung des Unterrichts in nicht-kommerziellem Rahmen verwendet werden.</w:t>
      </w:r>
    </w:p>
    <w:p>
      <w:pPr>
        <w:spacing w:after="60" w:before="0"/>
      </w:pPr>
      <w:r>
        <w:t xml:space="preserve"/>
      </w:r>
    </w:p>
    <w:p>
      <w:pPr>
        <w:pStyle w:val="Heading3"/>
        <w:spacing w:after="60" w:before="200"/>
      </w:pPr>
      <w:r>
        <w:rPr>
          <w:rFonts w:ascii="Arial" w:cs="Arial" w:eastAsia="Arial" w:hAnsi="Arial"/>
          <w:b/>
          <w:bCs/>
          <w:color w:val="1A3A5C"/>
          <w:sz w:val="22"/>
          <w:szCs w:val="22"/>
        </w:rPr>
        <w:t xml:space="preserve">Zusammenfassung: Rechtsstatus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rPr>
          <w:tblHeader/>
        </w:trPr>
        <w:tc>
          <w:tcPr>
            <w:tcW w:type="dxa" w:w="28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Bereich</w:t>
            </w:r>
          </w:p>
        </w:tc>
        <w:tc>
          <w:tcPr>
            <w:tcW w:type="dxa" w:w="24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826"/>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Maßnahme</w:t>
            </w:r>
          </w:p>
        </w:tc>
      </w:tr>
      <w:tr>
        <w:tc>
          <w:tcPr>
            <w:tcW w:type="dxa" w:w="28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Schriftarten (Fonts)</w:t>
            </w:r>
          </w:p>
        </w:tc>
        <w:tc>
          <w:tcPr>
            <w:tcW w:type="dxa" w:w="24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 OFL 1.1 – frei nutzbar</w:t>
            </w:r>
          </w:p>
        </w:tc>
        <w:tc>
          <w:tcPr>
            <w:tcW w:type="dxa" w:w="38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Lokal eingebettet, kein CDN</w:t>
            </w:r>
          </w:p>
        </w:tc>
      </w:tr>
      <w:tr>
        <w:tc>
          <w:tcPr>
            <w:tcW w:type="dxa" w:w="28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Grafiken / Animationen</w:t>
            </w:r>
          </w:p>
        </w:tc>
        <w:tc>
          <w:tcPr>
            <w:tcW w:type="dxa" w:w="24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Eigenerstellt</w:t>
            </w:r>
          </w:p>
        </w:tc>
        <w:tc>
          <w:tcPr>
            <w:tcW w:type="dxa" w:w="3826"/>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Inline SVG, kein Drittmaterial</w:t>
            </w:r>
          </w:p>
        </w:tc>
      </w:tr>
      <w:tr>
        <w:tc>
          <w:tcPr>
            <w:tcW w:type="dxa" w:w="28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Diagramm-Daten</w:t>
            </w:r>
          </w:p>
        </w:tc>
        <w:tc>
          <w:tcPr>
            <w:tcW w:type="dxa" w:w="24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 Öffentliche NOAA-Daten</w:t>
            </w:r>
          </w:p>
        </w:tc>
        <w:tc>
          <w:tcPr>
            <w:tcW w:type="dxa" w:w="38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Eigenständige SVG-Darstellung</w:t>
            </w:r>
          </w:p>
        </w:tc>
      </w:tr>
      <w:tr>
        <w:tc>
          <w:tcPr>
            <w:tcW w:type="dxa" w:w="28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Schulbuchinhalte</w:t>
            </w:r>
          </w:p>
        </w:tc>
        <w:tc>
          <w:tcPr>
            <w:tcW w:type="dxa" w:w="24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 60a UrhG</w:t>
            </w:r>
          </w:p>
        </w:tc>
        <w:tc>
          <w:tcPr>
            <w:tcW w:type="dxa" w:w="3826"/>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Nur Verweise, kein Volltext</w:t>
            </w:r>
          </w:p>
        </w:tc>
      </w:tr>
      <w:tr>
        <w:tc>
          <w:tcPr>
            <w:tcW w:type="dxa" w:w="28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DSGVO / Datenschutz</w:t>
            </w:r>
          </w:p>
        </w:tc>
        <w:tc>
          <w:tcPr>
            <w:tcW w:type="dxa" w:w="24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 Vollständig konform</w:t>
            </w:r>
          </w:p>
        </w:tc>
        <w:tc>
          <w:tcPr>
            <w:tcW w:type="dxa" w:w="38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Keine externen Anfragen</w:t>
            </w:r>
          </w:p>
        </w:tc>
      </w:tr>
      <w:tr>
        <w:tc>
          <w:tcPr>
            <w:tcW w:type="dxa" w:w="28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Schülerdaten</w:t>
            </w:r>
          </w:p>
        </w:tc>
        <w:tc>
          <w:tcPr>
            <w:tcW w:type="dxa" w:w="24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Keine Übermittlung</w:t>
            </w:r>
          </w:p>
        </w:tc>
        <w:tc>
          <w:tcPr>
            <w:tcW w:type="dxa" w:w="3826"/>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Kein Server, kein Tracking</w:t>
            </w:r>
          </w:p>
        </w:tc>
      </w:tr>
    </w:tbl>
    <w:p>
      <w:r>
        <w:br w:type="page"/>
      </w:r>
    </w:p>
    <w:p>
      <w:pPr>
        <w:pStyle w:val="Heading1"/>
        <w:spacing w:after="120" w:before="360"/>
      </w:pPr>
      <w:r>
        <w:rPr>
          <w:rFonts w:ascii="Arial" w:cs="Arial" w:eastAsia="Arial" w:hAnsi="Arial"/>
          <w:b/>
          <w:bCs/>
          <w:color w:val="1A3A5C"/>
          <w:sz w:val="32"/>
          <w:szCs w:val="32"/>
        </w:rPr>
        <w:t xml:space="preserve">4  Durchführungshinweise</w:t>
      </w:r>
    </w:p>
    <w:p>
      <w:pPr>
        <w:pStyle w:val="Heading2"/>
        <w:spacing w:after="80" w:before="280"/>
      </w:pPr>
      <w:r>
        <w:rPr>
          <w:rFonts w:ascii="Arial" w:cs="Arial" w:eastAsia="Arial" w:hAnsi="Arial"/>
          <w:b/>
          <w:bCs/>
          <w:color w:val="2E6FA3"/>
          <w:sz w:val="26"/>
          <w:szCs w:val="26"/>
        </w:rPr>
        <w:t xml:space="preserve">4.1  Technische Vorbereitung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6E3C" w:sz="4"/>
              <w:left w:val="single" w:color="1E6E3C" w:sz="4"/>
              <w:bottom w:val="single" w:color="1E6E3C" w:sz="4"/>
              <w:right w:val="single" w:color="1E6E3C" w:sz="4"/>
            </w:tcBorders>
            <w:shd w:fill="2E6FA3" w:val="clear"/>
            <w:tcMar>
              <w:top w:type="dxa" w:w="80"/>
              <w:left w:type="dxa" w:w="120"/>
              <w:bottom w:type="dxa" w:w="80"/>
              <w:right w:type="dxa" w:w="120"/>
            </w:tcMar>
          </w:tcPr>
          <w:p>
            <w:r>
              <w:rPr>
                <w:rFonts w:ascii="Arial" w:cs="Arial" w:eastAsia="Arial" w:hAnsi="Arial"/>
                <w:b/>
                <w:bCs/>
                <w:color w:val="FFFFFF"/>
                <w:sz w:val="22"/>
                <w:szCs w:val="22"/>
              </w:rPr>
              <w:t xml:space="preserve">Checkliste vor der Stunde</w:t>
            </w:r>
          </w:p>
        </w:tc>
      </w:tr>
      <w:tr>
        <w:tc>
          <w:tcPr>
            <w:tcW w:type="dxa" w:w="9026"/>
            <w:tcBorders>
              <w:top w:val="single" w:color="1E6E3C" w:sz="4"/>
              <w:left w:val="single" w:color="1E6E3C" w:sz="4"/>
              <w:bottom w:val="single" w:color="1E6E3C" w:sz="4"/>
              <w:right w:val="single" w:color="1E6E3C" w:sz="4"/>
            </w:tcBorders>
            <w:shd w:fill="E8F5EE" w:val="clear"/>
            <w:tcMar>
              <w:top w:type="dxa" w:w="60"/>
              <w:left w:type="dxa" w:w="120"/>
              <w:bottom w:type="dxa" w:w="60"/>
              <w:right w:type="dxa" w:w="120"/>
            </w:tcMar>
          </w:tcPr>
          <w:p>
            <w:pPr>
              <w:spacing w:after="40" w:before="40"/>
            </w:pPr>
            <w:r>
              <w:rPr>
                <w:rFonts w:ascii="Arial" w:cs="Arial" w:eastAsia="Arial" w:hAnsi="Arial"/>
                <w:sz w:val="22"/>
                <w:szCs w:val="22"/>
              </w:rPr>
              <w:t xml:space="preserve">☐  HTML-Datei auf einem lokalen Server oder über GitHub Pages aufrufbar (herrwartenberg.github.io/klimawandel8/klimawandel_escape.html)</w:t>
            </w:r>
          </w:p>
        </w:tc>
      </w:tr>
      <w:tr>
        <w:tc>
          <w:tcPr>
            <w:tcW w:type="dxa" w:w="9026"/>
            <w:tcBorders>
              <w:top w:val="single" w:color="1E6E3C" w:sz="4"/>
              <w:left w:val="single" w:color="1E6E3C" w:sz="4"/>
              <w:bottom w:val="single" w:color="1E6E3C" w:sz="4"/>
              <w:right w:val="single" w:color="1E6E3C" w:sz="4"/>
            </w:tcBorders>
            <w:shd w:fill="E8F5EE" w:val="clear"/>
            <w:tcMar>
              <w:top w:type="dxa" w:w="60"/>
              <w:left w:type="dxa" w:w="120"/>
              <w:bottom w:type="dxa" w:w="60"/>
              <w:right w:type="dxa" w:w="120"/>
            </w:tcMar>
          </w:tcPr>
          <w:p>
            <w:pPr>
              <w:spacing w:after="40" w:before="40"/>
            </w:pPr>
            <w:r>
              <w:rPr>
                <w:rFonts w:ascii="Arial" w:cs="Arial" w:eastAsia="Arial" w:hAnsi="Arial"/>
                <w:sz w:val="22"/>
                <w:szCs w:val="22"/>
              </w:rPr>
              <w:t xml:space="preserve">☐  Browser auf Vollbild getestet (F11), JavaScript aktiviert</w:t>
            </w:r>
          </w:p>
        </w:tc>
      </w:tr>
      <w:tr>
        <w:tc>
          <w:tcPr>
            <w:tcW w:type="dxa" w:w="9026"/>
            <w:tcBorders>
              <w:top w:val="single" w:color="1E6E3C" w:sz="4"/>
              <w:left w:val="single" w:color="1E6E3C" w:sz="4"/>
              <w:bottom w:val="single" w:color="1E6E3C" w:sz="4"/>
              <w:right w:val="single" w:color="1E6E3C" w:sz="4"/>
            </w:tcBorders>
            <w:shd w:fill="E8F5EE" w:val="clear"/>
            <w:tcMar>
              <w:top w:type="dxa" w:w="60"/>
              <w:left w:type="dxa" w:w="120"/>
              <w:bottom w:type="dxa" w:w="60"/>
              <w:right w:type="dxa" w:w="120"/>
            </w:tcMar>
          </w:tcPr>
          <w:p>
            <w:pPr>
              <w:spacing w:after="40" w:before="40"/>
            </w:pPr>
            <w:r>
              <w:rPr>
                <w:rFonts w:ascii="Arial" w:cs="Arial" w:eastAsia="Arial" w:hAnsi="Arial"/>
                <w:sz w:val="22"/>
                <w:szCs w:val="22"/>
              </w:rPr>
              <w:t xml:space="preserve">☐  Ein Gerät pro Gruppe (Tablet oder Laptop); idealerweise mit Mausbedienung für Drag &amp; Drop</w:t>
            </w:r>
          </w:p>
        </w:tc>
      </w:tr>
      <w:tr>
        <w:tc>
          <w:tcPr>
            <w:tcW w:type="dxa" w:w="9026"/>
            <w:tcBorders>
              <w:top w:val="single" w:color="1E6E3C" w:sz="4"/>
              <w:left w:val="single" w:color="1E6E3C" w:sz="4"/>
              <w:bottom w:val="single" w:color="1E6E3C" w:sz="4"/>
              <w:right w:val="single" w:color="1E6E3C" w:sz="4"/>
            </w:tcBorders>
            <w:shd w:fill="E8F5EE" w:val="clear"/>
            <w:tcMar>
              <w:top w:type="dxa" w:w="60"/>
              <w:left w:type="dxa" w:w="120"/>
              <w:bottom w:type="dxa" w:w="60"/>
              <w:right w:type="dxa" w:w="120"/>
            </w:tcMar>
          </w:tcPr>
          <w:p>
            <w:pPr>
              <w:spacing w:after="40" w:before="40"/>
            </w:pPr>
            <w:r>
              <w:rPr>
                <w:rFonts w:ascii="Arial" w:cs="Arial" w:eastAsia="Arial" w:hAnsi="Arial"/>
                <w:sz w:val="22"/>
                <w:szCs w:val="22"/>
              </w:rPr>
              <w:t xml:space="preserve">☐  Schulbuch (Kapitel 7, S. 136–159) für jedes Team bereitgelegt</w:t>
            </w:r>
          </w:p>
        </w:tc>
      </w:tr>
      <w:tr>
        <w:tc>
          <w:tcPr>
            <w:tcW w:type="dxa" w:w="9026"/>
            <w:tcBorders>
              <w:top w:val="single" w:color="1E6E3C" w:sz="4"/>
              <w:left w:val="single" w:color="1E6E3C" w:sz="4"/>
              <w:bottom w:val="single" w:color="1E6E3C" w:sz="4"/>
              <w:right w:val="single" w:color="1E6E3C" w:sz="4"/>
            </w:tcBorders>
            <w:shd w:fill="E8F5EE" w:val="clear"/>
            <w:tcMar>
              <w:top w:type="dxa" w:w="60"/>
              <w:left w:type="dxa" w:w="120"/>
              <w:bottom w:type="dxa" w:w="60"/>
              <w:right w:type="dxa" w:w="120"/>
            </w:tcMar>
          </w:tcPr>
          <w:p>
            <w:pPr>
              <w:spacing w:after="40" w:before="40"/>
            </w:pPr>
            <w:r>
              <w:rPr>
                <w:rFonts w:ascii="Arial" w:cs="Arial" w:eastAsia="Arial" w:hAnsi="Arial"/>
                <w:sz w:val="22"/>
                <w:szCs w:val="22"/>
              </w:rPr>
              <w:t xml:space="preserve">☐  Notizzettel und Stifte für jedes Team (für Tresor-Ziffern)</w:t>
            </w:r>
          </w:p>
        </w:tc>
      </w:tr>
      <w:tr>
        <w:tc>
          <w:tcPr>
            <w:tcW w:type="dxa" w:w="9026"/>
            <w:tcBorders>
              <w:top w:val="single" w:color="1E6E3C" w:sz="4"/>
              <w:left w:val="single" w:color="1E6E3C" w:sz="4"/>
              <w:bottom w:val="single" w:color="1E6E3C" w:sz="4"/>
              <w:right w:val="single" w:color="1E6E3C" w:sz="4"/>
            </w:tcBorders>
            <w:shd w:fill="E8F5EE" w:val="clear"/>
            <w:tcMar>
              <w:top w:type="dxa" w:w="60"/>
              <w:left w:type="dxa" w:w="120"/>
              <w:bottom w:type="dxa" w:w="60"/>
              <w:right w:type="dxa" w:w="120"/>
            </w:tcMar>
          </w:tcPr>
          <w:p>
            <w:pPr>
              <w:spacing w:after="40" w:before="40"/>
            </w:pPr>
            <w:r>
              <w:rPr>
                <w:rFonts w:ascii="Arial" w:cs="Arial" w:eastAsia="Arial" w:hAnsi="Arial"/>
                <w:sz w:val="22"/>
                <w:szCs w:val="22"/>
              </w:rPr>
              <w:t xml:space="preserve">☐  Gruppen vorab eingeteilt und Rollen besprochen</w:t>
            </w:r>
          </w:p>
        </w:tc>
      </w:tr>
    </w:tbl>
    <w:p>
      <w:pPr>
        <w:spacing w:after="80" w:before="0"/>
      </w:pPr>
      <w:r>
        <w:t xml:space="preserve"/>
      </w:r>
    </w:p>
    <w:p>
      <w:pPr>
        <w:pStyle w:val="Heading2"/>
        <w:spacing w:after="80" w:before="280"/>
      </w:pPr>
      <w:r>
        <w:rPr>
          <w:rFonts w:ascii="Arial" w:cs="Arial" w:eastAsia="Arial" w:hAnsi="Arial"/>
          <w:b/>
          <w:bCs/>
          <w:color w:val="2E6FA3"/>
          <w:sz w:val="26"/>
          <w:szCs w:val="26"/>
        </w:rPr>
        <w:t xml:space="preserve">4.2  Ablaufplanung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3100"/>
        <w:gridCol w:w="3026"/>
      </w:tblGrid>
      <w:tr>
        <w:trPr>
          <w:tblHeader/>
        </w:trPr>
        <w:tc>
          <w:tcPr>
            <w:tcW w:type="dxa" w:w="15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Dauer (ca.)</w:t>
            </w:r>
          </w:p>
        </w:tc>
        <w:tc>
          <w:tcPr>
            <w:tcW w:type="dxa" w:w="31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Aktivität der Lehrkraft</w:t>
            </w:r>
          </w:p>
        </w:tc>
        <w:tc>
          <w:tcPr>
            <w:tcW w:type="dxa" w:w="3026"/>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Aktivität der SuS</w:t>
            </w:r>
          </w:p>
        </w:tc>
      </w:tr>
      <w:tr>
        <w:tc>
          <w:tcPr>
            <w:tcW w:type="dxa" w:w="15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Einstieg</w:t>
            </w:r>
          </w:p>
        </w:tc>
        <w:tc>
          <w:tcPr>
            <w:tcW w:type="dxa" w:w="14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5 min</w:t>
            </w:r>
          </w:p>
        </w:tc>
        <w:tc>
          <w:tcPr>
            <w:tcW w:type="dxa" w:w="31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Kontext erklären, Regeln vorstellen, Gruppen einteilen</w:t>
            </w:r>
          </w:p>
        </w:tc>
        <w:tc>
          <w:tcPr>
            <w:tcW w:type="dxa" w:w="30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Zuhören, Rollen absprechen, Teamnamen wählen</w:t>
            </w:r>
          </w:p>
        </w:tc>
      </w:tr>
      <w:tr>
        <w:tc>
          <w:tcPr>
            <w:tcW w:type="dxa" w:w="15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Spielphase</w:t>
            </w:r>
          </w:p>
        </w:tc>
        <w:tc>
          <w:tcPr>
            <w:tcW w:type="dxa" w:w="14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45–90 min</w:t>
            </w:r>
          </w:p>
        </w:tc>
        <w:tc>
          <w:tcPr>
            <w:tcW w:type="dxa" w:w="31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Beobachten, bei Bedarf coachen, Hinweise geben</w:t>
            </w:r>
          </w:p>
        </w:tc>
        <w:tc>
          <w:tcPr>
            <w:tcW w:type="dxa" w:w="3026"/>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Rätsel lösen, Schulbuch nutzen, Ziffern notieren</w:t>
            </w:r>
          </w:p>
        </w:tc>
      </w:tr>
      <w:tr>
        <w:tc>
          <w:tcPr>
            <w:tcW w:type="dxa" w:w="15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Abschluss</w:t>
            </w:r>
          </w:p>
        </w:tc>
        <w:tc>
          <w:tcPr>
            <w:tcW w:type="dxa" w:w="14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5 min</w:t>
            </w:r>
          </w:p>
        </w:tc>
        <w:tc>
          <w:tcPr>
            <w:tcW w:type="dxa" w:w="31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Endzeiten sammeln, ggf. Rangliste erstellen</w:t>
            </w:r>
          </w:p>
        </w:tc>
        <w:tc>
          <w:tcPr>
            <w:tcW w:type="dxa" w:w="30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Tresor-Code eingeben, Mission abschließen</w:t>
            </w:r>
          </w:p>
        </w:tc>
      </w:tr>
      <w:tr>
        <w:tc>
          <w:tcPr>
            <w:tcW w:type="dxa" w:w="15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Debriefing</w:t>
            </w:r>
          </w:p>
        </w:tc>
        <w:tc>
          <w:tcPr>
            <w:tcW w:type="dxa" w:w="14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15–20 min</w:t>
            </w:r>
          </w:p>
        </w:tc>
        <w:tc>
          <w:tcPr>
            <w:tcW w:type="dxa" w:w="31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Reflexionsfragen moderieren, Inhalte sichern</w:t>
            </w:r>
          </w:p>
        </w:tc>
        <w:tc>
          <w:tcPr>
            <w:tcW w:type="dxa" w:w="3026"/>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Erfahrungen teilen, Lernzuwachs reflektieren</w:t>
            </w:r>
          </w:p>
        </w:tc>
      </w:tr>
    </w:tbl>
    <w:p>
      <w:pPr>
        <w:spacing w:after="80" w:before="0"/>
      </w:pPr>
      <w:r>
        <w:t xml:space="preserve"/>
      </w:r>
    </w:p>
    <w:p>
      <w:pPr>
        <w:pStyle w:val="Heading2"/>
        <w:spacing w:after="80" w:before="280"/>
      </w:pPr>
      <w:r>
        <w:rPr>
          <w:rFonts w:ascii="Arial" w:cs="Arial" w:eastAsia="Arial" w:hAnsi="Arial"/>
          <w:b/>
          <w:bCs/>
          <w:color w:val="2E6FA3"/>
          <w:sz w:val="26"/>
          <w:szCs w:val="26"/>
        </w:rPr>
        <w:t xml:space="preserve">4.3  Rolle der Lehrkraft</w:t>
      </w:r>
    </w:p>
    <w:p>
      <w:pPr>
        <w:spacing w:after="100" w:before="60"/>
        <w:jc w:val="both"/>
      </w:pPr>
      <w:r>
        <w:rPr>
          <w:rFonts w:ascii="Arial" w:cs="Arial" w:eastAsia="Arial" w:hAnsi="Arial"/>
          <w:color w:val="000000"/>
          <w:sz w:val="22"/>
          <w:szCs w:val="22"/>
        </w:rPr>
        <w:t xml:space="preserve">Die Lehrkraft agiert während der Spielphase als Coach, nicht als Wissensvermittler:</w:t>
      </w:r>
    </w:p>
    <w:p>
      <w:pPr>
        <w:pStyle w:val="ListParagraph"/>
        <w:numPr>
          <w:ilvl w:val="0"/>
          <w:numId w:val="2"/>
        </w:numPr>
        <w:spacing w:after="40" w:before="40"/>
      </w:pPr>
      <w:r>
        <w:rPr>
          <w:rFonts w:ascii="Arial" w:cs="Arial" w:eastAsia="Arial" w:hAnsi="Arial"/>
          <w:sz w:val="22"/>
          <w:szCs w:val="22"/>
        </w:rPr>
        <w:t xml:space="preserve">Beobachten: Welche Teams stecken wo fest? Welche Strategien werden angewendet?</w:t>
      </w:r>
    </w:p>
    <w:p>
      <w:pPr>
        <w:pStyle w:val="ListParagraph"/>
        <w:numPr>
          <w:ilvl w:val="0"/>
          <w:numId w:val="2"/>
        </w:numPr>
        <w:spacing w:after="40" w:before="40"/>
      </w:pPr>
      <w:r>
        <w:rPr>
          <w:rFonts w:ascii="Arial" w:cs="Arial" w:eastAsia="Arial" w:hAnsi="Arial"/>
          <w:sz w:val="22"/>
          <w:szCs w:val="22"/>
        </w:rPr>
        <w:t xml:space="preserve">Hinweise steuern: Das System bietet bis zu 3 gestufte Hinweise pro Raum. Die Lehrkraft kann zusätzlich mündlich auf Textstellen verweisen.</w:t>
      </w:r>
    </w:p>
    <w:p>
      <w:pPr>
        <w:pStyle w:val="ListParagraph"/>
        <w:numPr>
          <w:ilvl w:val="0"/>
          <w:numId w:val="2"/>
        </w:numPr>
        <w:spacing w:after="40" w:before="40"/>
      </w:pPr>
      <w:r>
        <w:rPr>
          <w:rFonts w:ascii="Arial" w:cs="Arial" w:eastAsia="Arial" w:hAnsi="Arial"/>
          <w:sz w:val="22"/>
          <w:szCs w:val="22"/>
        </w:rPr>
        <w:t xml:space="preserve">Differenzierung: Leistungsstarken Teams können Zusatzfragen gestellt werden.</w:t>
      </w:r>
    </w:p>
    <w:p>
      <w:pPr>
        <w:pStyle w:val="ListParagraph"/>
        <w:numPr>
          <w:ilvl w:val="0"/>
          <w:numId w:val="2"/>
        </w:numPr>
        <w:spacing w:after="40" w:before="40"/>
      </w:pPr>
      <w:r>
        <w:rPr>
          <w:rFonts w:ascii="Arial" w:cs="Arial" w:eastAsia="Arial" w:hAnsi="Arial"/>
          <w:sz w:val="22"/>
          <w:szCs w:val="22"/>
        </w:rPr>
        <w:t xml:space="preserve">Klassenmanagement: Die hohe Eigenmotivation reduziert Disziplinprobleme.</w:t>
      </w:r>
    </w:p>
    <w:p>
      <w:pPr>
        <w:spacing w:after="80" w:before="0"/>
      </w:pPr>
      <w:r>
        <w:t xml:space="preserve"/>
      </w:r>
    </w:p>
    <w:p>
      <w:pPr>
        <w:pStyle w:val="Heading2"/>
        <w:spacing w:after="80" w:before="280"/>
      </w:pPr>
      <w:r>
        <w:rPr>
          <w:rFonts w:ascii="Arial" w:cs="Arial" w:eastAsia="Arial" w:hAnsi="Arial"/>
          <w:b/>
          <w:bCs/>
          <w:color w:val="2E6FA3"/>
          <w:sz w:val="26"/>
          <w:szCs w:val="26"/>
        </w:rPr>
        <w:t xml:space="preserve">4.4  Fortsetzung in der Folgestunde</w:t>
      </w:r>
    </w:p>
    <w:p>
      <w:pPr>
        <w:spacing w:after="100" w:before="60"/>
        <w:jc w:val="both"/>
      </w:pPr>
      <w:r>
        <w:rPr>
          <w:rFonts w:ascii="Arial" w:cs="Arial" w:eastAsia="Arial" w:hAnsi="Arial"/>
          <w:color w:val="000000"/>
          <w:sz w:val="22"/>
          <w:szCs w:val="22"/>
        </w:rPr>
        <w:t xml:space="preserve">Falls Teams die Mission nicht in einer Stunde abschließen, können sie mit dem Fortsetzen-Formular auf der Startseite weiterspielen:</w:t>
      </w:r>
    </w:p>
    <w:p>
      <w:pPr>
        <w:pStyle w:val="ListParagraph"/>
        <w:numPr>
          <w:ilvl w:val="0"/>
          <w:numId w:val="3"/>
        </w:numPr>
        <w:spacing w:after="40" w:before="40"/>
      </w:pPr>
      <w:r>
        <w:rPr>
          <w:rFonts w:ascii="Arial" w:cs="Arial" w:eastAsia="Arial" w:hAnsi="Arial"/>
          <w:sz w:val="22"/>
          <w:szCs w:val="22"/>
        </w:rPr>
        <w:t xml:space="preserve">Teamnamen eingeben (exakt wie beim ersten Mal)</w:t>
      </w:r>
    </w:p>
    <w:p>
      <w:pPr>
        <w:pStyle w:val="ListParagraph"/>
        <w:numPr>
          <w:ilvl w:val="0"/>
          <w:numId w:val="3"/>
        </w:numPr>
        <w:spacing w:after="40" w:before="40"/>
      </w:pPr>
      <w:r>
        <w:rPr>
          <w:rFonts w:ascii="Arial" w:cs="Arial" w:eastAsia="Arial" w:hAnsi="Arial"/>
          <w:sz w:val="22"/>
          <w:szCs w:val="22"/>
        </w:rPr>
        <w:t xml:space="preserve">Gesammelte Ziffern aus den Notizen eingeben (z. B. „153“ für drei abgeschlossene Räume)</w:t>
      </w:r>
    </w:p>
    <w:p>
      <w:pPr>
        <w:pStyle w:val="ListParagraph"/>
        <w:numPr>
          <w:ilvl w:val="0"/>
          <w:numId w:val="3"/>
        </w:numPr>
        <w:spacing w:after="40" w:before="40"/>
      </w:pPr>
      <w:r>
        <w:rPr>
          <w:rFonts w:ascii="Arial" w:cs="Arial" w:eastAsia="Arial" w:hAnsi="Arial"/>
          <w:sz w:val="22"/>
          <w:szCs w:val="22"/>
        </w:rPr>
        <w:t xml:space="preserve">Auf „Fortsetzen“ klicken – das System springt zum nächsten offenen Raum, ohne Zeitlimit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7F00" w:sz="4"/>
              <w:left w:val="single" w:color="C47F00" w:sz="4"/>
              <w:bottom w:val="single" w:color="C47F00" w:sz="4"/>
              <w:right w:val="single" w:color="C47F00" w:sz="4"/>
            </w:tcBorders>
            <w:shd w:fill="2E6FA3" w:val="clear"/>
            <w:tcMar>
              <w:top w:type="dxa" w:w="80"/>
              <w:left w:type="dxa" w:w="120"/>
              <w:bottom w:type="dxa" w:w="80"/>
              <w:right w:type="dxa" w:w="120"/>
            </w:tcMar>
          </w:tcPr>
          <w:p>
            <w:r>
              <w:rPr>
                <w:rFonts w:ascii="Arial" w:cs="Arial" w:eastAsia="Arial" w:hAnsi="Arial"/>
                <w:b/>
                <w:bCs/>
                <w:color w:val="FFFFFF"/>
                <w:sz w:val="22"/>
                <w:szCs w:val="22"/>
              </w:rPr>
              <w:t xml:space="preserve">Hinweis für die Lehrkraft</w:t>
            </w:r>
          </w:p>
        </w:tc>
      </w:tr>
      <w:tr>
        <w:tc>
          <w:tcPr>
            <w:tcW w:type="dxa" w:w="9026"/>
            <w:tcBorders>
              <w:top w:val="single" w:color="C47F00" w:sz="4"/>
              <w:left w:val="single" w:color="C47F00" w:sz="4"/>
              <w:bottom w:val="single" w:color="C47F00" w:sz="4"/>
              <w:right w:val="single" w:color="C47F00" w:sz="4"/>
            </w:tcBorders>
            <w:shd w:fill="FFF8E5" w:val="clear"/>
            <w:tcMar>
              <w:top w:type="dxa" w:w="60"/>
              <w:left w:type="dxa" w:w="120"/>
              <w:bottom w:type="dxa" w:w="60"/>
              <w:right w:type="dxa" w:w="120"/>
            </w:tcMar>
          </w:tcPr>
          <w:p>
            <w:pPr>
              <w:spacing w:after="40" w:before="40"/>
            </w:pPr>
            <w:r>
              <w:rPr>
                <w:rFonts w:ascii="Arial" w:cs="Arial" w:eastAsia="Arial" w:hAnsi="Arial"/>
                <w:sz w:val="22"/>
                <w:szCs w:val="22"/>
              </w:rPr>
              <w:t xml:space="preserve">Die Ziffern dienen als Authentifizierung. Teams ohne Ziffern-Notizen müssen von vorne beginnen. Dies ist pädagogisch beabsichtigt und trainiert das sorgfältige Arbeiten.</w:t>
            </w:r>
          </w:p>
        </w:tc>
      </w:tr>
    </w:tbl>
    <w:p>
      <w:r>
        <w:br w:type="page"/>
      </w:r>
    </w:p>
    <w:p>
      <w:pPr>
        <w:pStyle w:val="Heading1"/>
        <w:spacing w:after="120" w:before="360"/>
      </w:pPr>
      <w:r>
        <w:rPr>
          <w:rFonts w:ascii="Arial" w:cs="Arial" w:eastAsia="Arial" w:hAnsi="Arial"/>
          <w:b/>
          <w:bCs/>
          <w:color w:val="1A3A5C"/>
          <w:sz w:val="32"/>
          <w:szCs w:val="32"/>
        </w:rPr>
        <w:t xml:space="preserve">5  Rechtliche Hinweise und Lizenzangaben</w:t>
      </w:r>
    </w:p>
    <w:p>
      <w:pPr>
        <w:pStyle w:val="Heading2"/>
        <w:spacing w:after="80" w:before="280"/>
      </w:pPr>
      <w:r>
        <w:rPr>
          <w:rFonts w:ascii="Arial" w:cs="Arial" w:eastAsia="Arial" w:hAnsi="Arial"/>
          <w:b/>
          <w:bCs/>
          <w:color w:val="2E6FA3"/>
          <w:sz w:val="26"/>
          <w:szCs w:val="26"/>
        </w:rPr>
        <w:t xml:space="preserve">5.1  Lizenzangaben der eingebetteten Schriften</w:t>
      </w:r>
    </w:p>
    <w:p>
      <w:pPr>
        <w:spacing w:after="100" w:before="60"/>
        <w:jc w:val="both"/>
      </w:pPr>
      <w:r>
        <w:rPr>
          <w:rFonts w:ascii="Arial" w:cs="Arial" w:eastAsia="Arial" w:hAnsi="Arial"/>
          <w:color w:val="000000"/>
          <w:sz w:val="22"/>
          <w:szCs w:val="22"/>
        </w:rPr>
        <w:t xml:space="preserve">Die folgenden Lizenzhinweise sind Bestandteil der OFL 1.1 und werden hiermit dokumentiert: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2E6FA3" w:val="clear"/>
            <w:tcMar>
              <w:top w:type="dxa" w:w="80"/>
              <w:left w:type="dxa" w:w="120"/>
              <w:bottom w:type="dxa" w:w="80"/>
              <w:right w:type="dxa" w:w="120"/>
            </w:tcMar>
          </w:tcPr>
          <w:p>
            <w:r>
              <w:rPr>
                <w:rFonts w:ascii="Arial" w:cs="Arial" w:eastAsia="Arial" w:hAnsi="Arial"/>
                <w:b/>
                <w:bCs/>
                <w:color w:val="FFFFFF"/>
                <w:sz w:val="22"/>
                <w:szCs w:val="22"/>
              </w:rPr>
              <w:t xml:space="preserve">Orbitron</w:t>
            </w:r>
          </w:p>
        </w:tc>
      </w:tr>
      <w:tr>
        <w:tc>
          <w:tcPr>
            <w:tcW w:type="dxa" w:w="9026"/>
            <w:tcBorders>
              <w:top w:val="single" w:color="BBBBBB" w:sz="4"/>
              <w:left w:val="single" w:color="BBBBBB" w:sz="4"/>
              <w:bottom w:val="single" w:color="BBBBBB" w:sz="4"/>
              <w:right w:val="single" w:color="BBBBBB" w:sz="4"/>
            </w:tcBorders>
            <w:shd w:fill="F2F4F7" w:val="clear"/>
            <w:tcMar>
              <w:top w:type="dxa" w:w="60"/>
              <w:left w:type="dxa" w:w="120"/>
              <w:bottom w:type="dxa" w:w="60"/>
              <w:right w:type="dxa" w:w="120"/>
            </w:tcMar>
          </w:tcPr>
          <w:p>
            <w:pPr>
              <w:spacing w:after="40" w:before="40"/>
            </w:pPr>
            <w:r>
              <w:rPr>
                <w:rFonts w:ascii="Arial" w:cs="Arial" w:eastAsia="Arial" w:hAnsi="Arial"/>
                <w:sz w:val="22"/>
                <w:szCs w:val="22"/>
              </w:rPr>
              <w:t xml:space="preserve">Copyright 2018 The Orbitron Project Authors (https://github.com/theleagueof/orbitron)</w:t>
            </w:r>
          </w:p>
        </w:tc>
      </w:tr>
      <w:tr>
        <w:tc>
          <w:tcPr>
            <w:tcW w:type="dxa" w:w="9026"/>
            <w:tcBorders>
              <w:top w:val="single" w:color="BBBBBB" w:sz="4"/>
              <w:left w:val="single" w:color="BBBBBB" w:sz="4"/>
              <w:bottom w:val="single" w:color="BBBBBB" w:sz="4"/>
              <w:right w:val="single" w:color="BBBBBB" w:sz="4"/>
            </w:tcBorders>
            <w:shd w:fill="F2F4F7" w:val="clear"/>
            <w:tcMar>
              <w:top w:type="dxa" w:w="60"/>
              <w:left w:type="dxa" w:w="120"/>
              <w:bottom w:type="dxa" w:w="60"/>
              <w:right w:type="dxa" w:w="120"/>
            </w:tcMar>
          </w:tcPr>
          <w:p>
            <w:pPr>
              <w:spacing w:after="40" w:before="40"/>
            </w:pPr>
            <w:r>
              <w:rPr>
                <w:rFonts w:ascii="Arial" w:cs="Arial" w:eastAsia="Arial" w:hAnsi="Arial"/>
                <w:sz w:val="22"/>
                <w:szCs w:val="22"/>
              </w:rPr>
              <w:t xml:space="preserve">Lizenz: SIL Open Font License, Version 1.1 – https://openfontlicense.org</w:t>
            </w:r>
          </w:p>
        </w:tc>
      </w:tr>
    </w:tbl>
    <w:p>
      <w:pPr>
        <w:spacing w:after="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2E6FA3" w:val="clear"/>
            <w:tcMar>
              <w:top w:type="dxa" w:w="80"/>
              <w:left w:type="dxa" w:w="120"/>
              <w:bottom w:type="dxa" w:w="80"/>
              <w:right w:type="dxa" w:w="120"/>
            </w:tcMar>
          </w:tcPr>
          <w:p>
            <w:r>
              <w:rPr>
                <w:rFonts w:ascii="Arial" w:cs="Arial" w:eastAsia="Arial" w:hAnsi="Arial"/>
                <w:b/>
                <w:bCs/>
                <w:color w:val="FFFFFF"/>
                <w:sz w:val="22"/>
                <w:szCs w:val="22"/>
              </w:rPr>
              <w:t xml:space="preserve">JetBrains Mono</w:t>
            </w:r>
          </w:p>
        </w:tc>
      </w:tr>
      <w:tr>
        <w:tc>
          <w:tcPr>
            <w:tcW w:type="dxa" w:w="9026"/>
            <w:tcBorders>
              <w:top w:val="single" w:color="BBBBBB" w:sz="4"/>
              <w:left w:val="single" w:color="BBBBBB" w:sz="4"/>
              <w:bottom w:val="single" w:color="BBBBBB" w:sz="4"/>
              <w:right w:val="single" w:color="BBBBBB" w:sz="4"/>
            </w:tcBorders>
            <w:shd w:fill="F2F4F7" w:val="clear"/>
            <w:tcMar>
              <w:top w:type="dxa" w:w="60"/>
              <w:left w:type="dxa" w:w="120"/>
              <w:bottom w:type="dxa" w:w="60"/>
              <w:right w:type="dxa" w:w="120"/>
            </w:tcMar>
          </w:tcPr>
          <w:p>
            <w:pPr>
              <w:spacing w:after="40" w:before="40"/>
            </w:pPr>
            <w:r>
              <w:rPr>
                <w:rFonts w:ascii="Arial" w:cs="Arial" w:eastAsia="Arial" w:hAnsi="Arial"/>
                <w:sz w:val="22"/>
                <w:szCs w:val="22"/>
              </w:rPr>
              <w:t xml:space="preserve">Copyright 2020 The JetBrains Mono Project Authors (https://github.com/JetBrains/JetBrainsMono)</w:t>
            </w:r>
          </w:p>
        </w:tc>
      </w:tr>
      <w:tr>
        <w:tc>
          <w:tcPr>
            <w:tcW w:type="dxa" w:w="9026"/>
            <w:tcBorders>
              <w:top w:val="single" w:color="BBBBBB" w:sz="4"/>
              <w:left w:val="single" w:color="BBBBBB" w:sz="4"/>
              <w:bottom w:val="single" w:color="BBBBBB" w:sz="4"/>
              <w:right w:val="single" w:color="BBBBBB" w:sz="4"/>
            </w:tcBorders>
            <w:shd w:fill="F2F4F7" w:val="clear"/>
            <w:tcMar>
              <w:top w:type="dxa" w:w="60"/>
              <w:left w:type="dxa" w:w="120"/>
              <w:bottom w:type="dxa" w:w="60"/>
              <w:right w:type="dxa" w:w="120"/>
            </w:tcMar>
          </w:tcPr>
          <w:p>
            <w:pPr>
              <w:spacing w:after="40" w:before="40"/>
            </w:pPr>
            <w:r>
              <w:rPr>
                <w:rFonts w:ascii="Arial" w:cs="Arial" w:eastAsia="Arial" w:hAnsi="Arial"/>
                <w:sz w:val="22"/>
                <w:szCs w:val="22"/>
              </w:rPr>
              <w:t xml:space="preserve">Lizenz: SIL Open Font License, Version 1.1 – https://openfontlicense.org</w:t>
            </w:r>
          </w:p>
        </w:tc>
      </w:tr>
    </w:tbl>
    <w:p>
      <w:pPr>
        <w:spacing w:after="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2E6FA3" w:val="clear"/>
            <w:tcMar>
              <w:top w:type="dxa" w:w="80"/>
              <w:left w:type="dxa" w:w="120"/>
              <w:bottom w:type="dxa" w:w="80"/>
              <w:right w:type="dxa" w:w="120"/>
            </w:tcMar>
          </w:tcPr>
          <w:p>
            <w:r>
              <w:rPr>
                <w:rFonts w:ascii="Arial" w:cs="Arial" w:eastAsia="Arial" w:hAnsi="Arial"/>
                <w:b/>
                <w:bCs/>
                <w:color w:val="FFFFFF"/>
                <w:sz w:val="22"/>
                <w:szCs w:val="22"/>
              </w:rPr>
              <w:t xml:space="preserve">Manrope</w:t>
            </w:r>
          </w:p>
        </w:tc>
      </w:tr>
      <w:tr>
        <w:tc>
          <w:tcPr>
            <w:tcW w:type="dxa" w:w="9026"/>
            <w:tcBorders>
              <w:top w:val="single" w:color="BBBBBB" w:sz="4"/>
              <w:left w:val="single" w:color="BBBBBB" w:sz="4"/>
              <w:bottom w:val="single" w:color="BBBBBB" w:sz="4"/>
              <w:right w:val="single" w:color="BBBBBB" w:sz="4"/>
            </w:tcBorders>
            <w:shd w:fill="F2F4F7" w:val="clear"/>
            <w:tcMar>
              <w:top w:type="dxa" w:w="60"/>
              <w:left w:type="dxa" w:w="120"/>
              <w:bottom w:type="dxa" w:w="60"/>
              <w:right w:type="dxa" w:w="120"/>
            </w:tcMar>
          </w:tcPr>
          <w:p>
            <w:pPr>
              <w:spacing w:after="40" w:before="40"/>
            </w:pPr>
            <w:r>
              <w:rPr>
                <w:rFonts w:ascii="Arial" w:cs="Arial" w:eastAsia="Arial" w:hAnsi="Arial"/>
                <w:sz w:val="22"/>
                <w:szCs w:val="22"/>
              </w:rPr>
              <w:t xml:space="preserve">Copyright 2018 The Manrope Project Authors (https://github.com/sharanda/manrope)</w:t>
            </w:r>
          </w:p>
        </w:tc>
      </w:tr>
      <w:tr>
        <w:tc>
          <w:tcPr>
            <w:tcW w:type="dxa" w:w="9026"/>
            <w:tcBorders>
              <w:top w:val="single" w:color="BBBBBB" w:sz="4"/>
              <w:left w:val="single" w:color="BBBBBB" w:sz="4"/>
              <w:bottom w:val="single" w:color="BBBBBB" w:sz="4"/>
              <w:right w:val="single" w:color="BBBBBB" w:sz="4"/>
            </w:tcBorders>
            <w:shd w:fill="F2F4F7" w:val="clear"/>
            <w:tcMar>
              <w:top w:type="dxa" w:w="60"/>
              <w:left w:type="dxa" w:w="120"/>
              <w:bottom w:type="dxa" w:w="60"/>
              <w:right w:type="dxa" w:w="120"/>
            </w:tcMar>
          </w:tcPr>
          <w:p>
            <w:pPr>
              <w:spacing w:after="40" w:before="40"/>
            </w:pPr>
            <w:r>
              <w:rPr>
                <w:rFonts w:ascii="Arial" w:cs="Arial" w:eastAsia="Arial" w:hAnsi="Arial"/>
                <w:sz w:val="22"/>
                <w:szCs w:val="22"/>
              </w:rPr>
              <w:t xml:space="preserve">Lizenz: SIL Open Font License, Version 1.1 – https://openfontlicense.org</w:t>
            </w:r>
          </w:p>
        </w:tc>
      </w:tr>
    </w:tbl>
    <w:p>
      <w:pPr>
        <w:spacing w:after="80" w:before="0"/>
      </w:pPr>
      <w:r>
        <w:t xml:space="preserve"/>
      </w:r>
    </w:p>
    <w:p>
      <w:pPr>
        <w:pStyle w:val="Heading2"/>
        <w:spacing w:after="80" w:before="280"/>
      </w:pPr>
      <w:r>
        <w:rPr>
          <w:rFonts w:ascii="Arial" w:cs="Arial" w:eastAsia="Arial" w:hAnsi="Arial"/>
          <w:b/>
          <w:bCs/>
          <w:color w:val="2E6FA3"/>
          <w:sz w:val="26"/>
          <w:szCs w:val="26"/>
        </w:rPr>
        <w:t xml:space="preserve">5.2  Urheberrecht, KI-Generierung und Haftungshinweis</w:t>
      </w:r>
    </w:p>
    <w:p>
      <w:pPr>
        <w:spacing w:after="100" w:before="60"/>
        <w:jc w:val="both"/>
      </w:pPr>
      <w:r>
        <w:rPr>
          <w:rFonts w:ascii="Arial" w:cs="Arial" w:eastAsia="Arial" w:hAnsi="Arial"/>
          <w:color w:val="000000"/>
          <w:sz w:val="22"/>
          <w:szCs w:val="22"/>
        </w:rPr>
        <w:t xml:space="preserve">Die HTML-Datei „klimaEscape Room.html“ wurde mithilfe des KI-Sprachmodells Claude Sonnet 4.6 (Anthropic PBC) konzipiert, strukturiert und programmiert. Das Erstellungsdatum ist der 20. Mai 2026.</w:t>
      </w:r>
    </w:p>
    <w:p>
      <w:pPr>
        <w:spacing w:after="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7F00" w:sz="4"/>
              <w:left w:val="single" w:color="C47F00" w:sz="4"/>
              <w:bottom w:val="single" w:color="C47F00" w:sz="4"/>
              <w:right w:val="single" w:color="C47F00" w:sz="4"/>
            </w:tcBorders>
            <w:shd w:fill="2E6FA3" w:val="clear"/>
            <w:tcMar>
              <w:top w:type="dxa" w:w="80"/>
              <w:left w:type="dxa" w:w="120"/>
              <w:bottom w:type="dxa" w:w="80"/>
              <w:right w:type="dxa" w:w="120"/>
            </w:tcMar>
          </w:tcPr>
          <w:p>
            <w:r>
              <w:rPr>
                <w:rFonts w:ascii="Arial" w:cs="Arial" w:eastAsia="Arial" w:hAnsi="Arial"/>
                <w:b/>
                <w:bCs/>
                <w:color w:val="FFFFFF"/>
                <w:sz w:val="22"/>
                <w:szCs w:val="22"/>
              </w:rPr>
              <w:t xml:space="preserve">Pflichthinweis zur KI-Nutzung</w:t>
            </w:r>
          </w:p>
        </w:tc>
      </w:tr>
      <w:tr>
        <w:tc>
          <w:tcPr>
            <w:tcW w:type="dxa" w:w="9026"/>
            <w:tcBorders>
              <w:top w:val="single" w:color="C47F00" w:sz="4"/>
              <w:left w:val="single" w:color="C47F00" w:sz="4"/>
              <w:bottom w:val="single" w:color="C47F00" w:sz="4"/>
              <w:right w:val="single" w:color="C47F00" w:sz="4"/>
            </w:tcBorders>
            <w:shd w:fill="FFF8E5" w:val="clear"/>
            <w:tcMar>
              <w:top w:type="dxa" w:w="60"/>
              <w:left w:type="dxa" w:w="120"/>
              <w:bottom w:type="dxa" w:w="60"/>
              <w:right w:type="dxa" w:w="120"/>
            </w:tcMar>
          </w:tcPr>
          <w:p>
            <w:pPr>
              <w:spacing w:after="40" w:before="40"/>
            </w:pPr>
            <w:r>
              <w:rPr>
                <w:rFonts w:ascii="Arial" w:cs="Arial" w:eastAsia="Arial" w:hAnsi="Arial"/>
                <w:sz w:val="22"/>
                <w:szCs w:val="22"/>
              </w:rPr>
              <w:t xml:space="preserve">→  Dieses Unterrichtsmaterial wurde mit Unterstützung eines generativen KI-Systems (Claude Sonnet 4.6, Anthropic PBC) erstellt. Die inhaltliche Verantwortung für den Einsatz im Unterricht liegt bei der Lehrkraft.</w:t>
            </w:r>
          </w:p>
        </w:tc>
      </w:tr>
      <w:tr>
        <w:tc>
          <w:tcPr>
            <w:tcW w:type="dxa" w:w="9026"/>
            <w:tcBorders>
              <w:top w:val="single" w:color="C47F00" w:sz="4"/>
              <w:left w:val="single" w:color="C47F00" w:sz="4"/>
              <w:bottom w:val="single" w:color="C47F00" w:sz="4"/>
              <w:right w:val="single" w:color="C47F00" w:sz="4"/>
            </w:tcBorders>
            <w:shd w:fill="FFF8E5" w:val="clear"/>
            <w:tcMar>
              <w:top w:type="dxa" w:w="60"/>
              <w:left w:type="dxa" w:w="120"/>
              <w:bottom w:type="dxa" w:w="60"/>
              <w:right w:type="dxa" w:w="120"/>
            </w:tcMar>
          </w:tcPr>
          <w:p>
            <w:pPr>
              <w:spacing w:after="40" w:before="40"/>
            </w:pPr>
            <w:r>
              <w:rPr>
                <w:rFonts w:ascii="Arial" w:cs="Arial" w:eastAsia="Arial" w:hAnsi="Arial"/>
                <w:sz w:val="22"/>
                <w:szCs w:val="22"/>
              </w:rPr>
              <w:t xml:space="preserve">→  Fachinhalte, Gesetzestexte (z. B. § 60a UrhG) und Gerichtsurteile wurden nach bestem Wissen formuliert. Sie ersetzen keine rechtliche Beratung und sollten auf Aktualität geprüft werden.</w:t>
            </w:r>
          </w:p>
        </w:tc>
      </w:tr>
      <w:tr>
        <w:tc>
          <w:tcPr>
            <w:tcW w:type="dxa" w:w="9026"/>
            <w:tcBorders>
              <w:top w:val="single" w:color="C47F00" w:sz="4"/>
              <w:left w:val="single" w:color="C47F00" w:sz="4"/>
              <w:bottom w:val="single" w:color="C47F00" w:sz="4"/>
              <w:right w:val="single" w:color="C47F00" w:sz="4"/>
            </w:tcBorders>
            <w:shd w:fill="FFF8E5" w:val="clear"/>
            <w:tcMar>
              <w:top w:type="dxa" w:w="60"/>
              <w:left w:type="dxa" w:w="120"/>
              <w:bottom w:type="dxa" w:w="60"/>
              <w:right w:type="dxa" w:w="120"/>
            </w:tcMar>
          </w:tcPr>
          <w:p>
            <w:pPr>
              <w:spacing w:after="40" w:before="40"/>
            </w:pPr>
            <w:r>
              <w:rPr>
                <w:rFonts w:ascii="Arial" w:cs="Arial" w:eastAsia="Arial" w:hAnsi="Arial"/>
                <w:sz w:val="22"/>
                <w:szCs w:val="22"/>
              </w:rPr>
              <w:t xml:space="preserve">→  KI-Systeme können Fehler machen oder veraltete Informationen enthalten. Alle Lösungen im Lösungsbogen sollten vor dem Einsatz mit dem Schulbuch abgeglichen werden.</w:t>
            </w:r>
          </w:p>
        </w:tc>
      </w:tr>
      <w:tr>
        <w:tc>
          <w:tcPr>
            <w:tcW w:type="dxa" w:w="9026"/>
            <w:tcBorders>
              <w:top w:val="single" w:color="C47F00" w:sz="4"/>
              <w:left w:val="single" w:color="C47F00" w:sz="4"/>
              <w:bottom w:val="single" w:color="C47F00" w:sz="4"/>
              <w:right w:val="single" w:color="C47F00" w:sz="4"/>
            </w:tcBorders>
            <w:shd w:fill="FFF8E5" w:val="clear"/>
            <w:tcMar>
              <w:top w:type="dxa" w:w="60"/>
              <w:left w:type="dxa" w:w="120"/>
              <w:bottom w:type="dxa" w:w="60"/>
              <w:right w:type="dxa" w:w="120"/>
            </w:tcMar>
          </w:tcPr>
          <w:p>
            <w:pPr>
              <w:spacing w:after="40" w:before="40"/>
            </w:pPr>
            <w:r>
              <w:rPr>
                <w:rFonts w:ascii="Arial" w:cs="Arial" w:eastAsia="Arial" w:hAnsi="Arial"/>
                <w:sz w:val="22"/>
                <w:szCs w:val="22"/>
              </w:rPr>
              <w:t xml:space="preserve">→  Die Datei darf im schulischen Kontext frei eingesetzt, weitergegeben und angepasst werden. Eine kommerzielle Verwertung ist nicht gestattet.</w:t>
            </w:r>
          </w:p>
        </w:tc>
      </w:tr>
    </w:tbl>
    <w:p>
      <w:pPr>
        <w:spacing w:after="80" w:before="0"/>
      </w:pPr>
      <w:r>
        <w:t xml:space="preserve"/>
      </w:r>
    </w:p>
    <w:p>
      <w:pPr>
        <w:pStyle w:val="Heading2"/>
        <w:spacing w:after="80" w:before="280"/>
      </w:pPr>
      <w:r>
        <w:rPr>
          <w:rFonts w:ascii="Arial" w:cs="Arial" w:eastAsia="Arial" w:hAnsi="Arial"/>
          <w:b/>
          <w:bCs/>
          <w:color w:val="2E6FA3"/>
          <w:sz w:val="26"/>
          <w:szCs w:val="26"/>
        </w:rPr>
        <w:t xml:space="preserve">5.3  Datenschutzrechtliche Einordnung</w:t>
      </w:r>
    </w:p>
    <w:p>
      <w:pPr>
        <w:spacing w:after="100" w:before="60"/>
        <w:jc w:val="both"/>
      </w:pPr>
      <w:r>
        <w:rPr>
          <w:rFonts w:ascii="Arial" w:cs="Arial" w:eastAsia="Arial" w:hAnsi="Arial"/>
          <w:color w:val="000000"/>
          <w:sz w:val="22"/>
          <w:szCs w:val="22"/>
        </w:rPr>
        <w:t xml:space="preserve">Die Datei erhebt, speichert oder überträgt keinerlei personenbezogene Daten. Es werden keine Cookies gesetzt. Eine Nutzung ist ohne Einwilligung der Erziehungsberechtigten unbedenklich möglich. Falls die Fortsetzen-Funktion genutzt wird, werden lediglich Teamname und Spielfortschritt im lokalen Browserspeicher (localStorage) des genutzten Geräts abgelegt – ausschließlich lokal, kein Server, kein Cloud-Dienst.</w:t>
      </w:r>
    </w:p>
    <w:p>
      <w:r>
        <w:br w:type="page"/>
      </w:r>
    </w:p>
    <w:p>
      <w:pPr>
        <w:pStyle w:val="Heading1"/>
        <w:spacing w:after="120" w:before="360"/>
      </w:pPr>
      <w:r>
        <w:rPr>
          <w:rFonts w:ascii="Arial" w:cs="Arial" w:eastAsia="Arial" w:hAnsi="Arial"/>
          <w:b/>
          <w:bCs/>
          <w:color w:val="1A3A5C"/>
          <w:sz w:val="32"/>
          <w:szCs w:val="32"/>
        </w:rPr>
        <w:t xml:space="preserve">6  Lösungsbogen</w:t>
      </w:r>
    </w:p>
    <w:p>
      <w:pPr>
        <w:spacing w:after="100" w:before="60"/>
        <w:jc w:val="both"/>
      </w:pPr>
      <w:r>
        <w:rPr>
          <w:rFonts w:ascii="Arial" w:cs="Arial" w:eastAsia="Arial" w:hAnsi="Arial"/>
          <w:color w:val="000000"/>
          <w:sz w:val="22"/>
          <w:szCs w:val="22"/>
        </w:rPr>
        <w:t xml:space="preserve">Alle korrekten Antworten im Überblick. Die Tresor-Ziffern dienen nur dem Lehrkraft-Monitoring; sie werden im Spiel nicht dauerhaft angezeigt.</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4"/>
              <w:left w:val="single" w:color="1A3A5C" w:sz="4"/>
              <w:bottom w:val="single" w:color="1A3A5C" w:sz="4"/>
              <w:right w:val="single" w:color="1A3A5C" w:sz="4"/>
            </w:tcBorders>
            <w:shd w:fill="D6E9F8" w:val="clear"/>
            <w:tcMar>
              <w:top w:type="dxa" w:w="60"/>
              <w:left w:type="dxa" w:w="120"/>
              <w:bottom w:type="dxa" w:w="60"/>
              <w:right w:type="dxa" w:w="120"/>
            </w:tcMar>
          </w:tcPr>
          <w:p>
            <w:pPr>
              <w:jc w:val="center"/>
            </w:pPr>
            <w:r>
              <w:rPr>
                <w:rFonts w:ascii="Arial" w:cs="Arial" w:eastAsia="Arial" w:hAnsi="Arial"/>
                <w:b/>
                <w:bCs/>
                <w:color w:val="1A3A5C"/>
                <w:sz w:val="48"/>
                <w:szCs w:val="48"/>
              </w:rPr>
              <w:t xml:space="preserve">1  –  5  –  3  –  9  –  7</w:t>
            </w:r>
          </w:p>
        </w:tc>
      </w:tr>
      <w:tr>
        <w:tc>
          <w:tcPr>
            <w:tcW w:type="dxa" w:w="9026"/>
            <w:tcBorders>
              <w:top w:val="single" w:color="1A3A5C" w:sz="4"/>
              <w:left w:val="single" w:color="1A3A5C" w:sz="4"/>
              <w:bottom w:val="single" w:color="1A3A5C" w:sz="4"/>
              <w:right w:val="single" w:color="1A3A5C" w:sz="4"/>
            </w:tcBorders>
            <w:shd w:fill="D6E9F8" w:val="clear"/>
            <w:tcMar>
              <w:top w:type="dxa" w:w="60"/>
              <w:left w:type="dxa" w:w="120"/>
              <w:bottom w:type="dxa" w:w="60"/>
              <w:right w:type="dxa" w:w="120"/>
            </w:tcMar>
          </w:tcPr>
          <w:p>
            <w:pPr>
              <w:jc w:val="center"/>
            </w:pPr>
            <w:r>
              <w:rPr>
                <w:rFonts w:ascii="Arial" w:cs="Arial" w:eastAsia="Arial" w:hAnsi="Arial"/>
                <w:color w:val="5A6270"/>
                <w:sz w:val="20"/>
                <w:szCs w:val="20"/>
              </w:rPr>
              <w:t xml:space="preserve">Raum 1 = 1     Raum 2 = 5     Raum 3 = 3     Raum 4 = 9     Raum 5 = 7</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1A3A5C" w:sz="4"/>
              <w:left w:val="single" w:color="1A3A5C" w:sz="4"/>
              <w:bottom w:val="single" w:color="1A3A5C" w:sz="4"/>
              <w:right w:val="single" w:color="1A3A5C" w:sz="4"/>
            </w:tcBorders>
            <w:shd w:fill="1A3A5C"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R1</w:t>
            </w:r>
          </w:p>
        </w:tc>
        <w:tc>
          <w:tcPr>
            <w:tcW w:type="dxa" w:w="7826"/>
            <w:tcBorders>
              <w:top w:val="single" w:color="1A3A5C" w:sz="4"/>
              <w:left w:val="single" w:color="1A3A5C" w:sz="4"/>
              <w:bottom w:val="single" w:color="1A3A5C" w:sz="4"/>
              <w:right w:val="single" w:color="1A3A5C" w:sz="4"/>
            </w:tcBorders>
            <w:shd w:fill="D6E9F8" w:val="clear"/>
            <w:tcMar>
              <w:top w:type="dxa" w:w="100"/>
              <w:left w:type="dxa" w:w="160"/>
              <w:bottom w:type="dxa" w:w="100"/>
              <w:right w:type="dxa" w:w="120"/>
            </w:tcMar>
          </w:tcPr>
          <w:p>
            <w:r>
              <w:rPr>
                <w:rFonts w:ascii="Arial" w:cs="Arial" w:eastAsia="Arial" w:hAnsi="Arial"/>
                <w:b/>
                <w:bCs/>
                <w:color w:val="1A3A5C"/>
                <w:sz w:val="26"/>
                <w:szCs w:val="26"/>
              </w:rPr>
              <w:t xml:space="preserve">Sauerstoff-System – Atmosphäre</w:t>
            </w:r>
          </w:p>
          <w:p>
            <w:r>
              <w:rPr>
                <w:rFonts w:ascii="Arial" w:cs="Arial" w:eastAsia="Arial" w:hAnsi="Arial"/>
                <w:color w:val="5A6270"/>
                <w:sz w:val="20"/>
                <w:szCs w:val="20"/>
              </w:rPr>
              <w:t xml:space="preserve">Schulbuch: S. 138–139</w:t>
            </w:r>
          </w:p>
        </w:tc>
      </w:tr>
    </w:tbl>
    <w:p>
      <w:pPr>
        <w:spacing w:after="60" w:before="0"/>
      </w:pPr>
      <w:r>
        <w:t xml:space="preserve"/>
      </w:r>
    </w:p>
    <w:p>
      <w:pPr>
        <w:pStyle w:val="Heading3"/>
        <w:spacing w:after="60" w:before="200"/>
      </w:pPr>
      <w:r>
        <w:rPr>
          <w:rFonts w:ascii="Arial" w:cs="Arial" w:eastAsia="Arial" w:hAnsi="Arial"/>
          <w:b/>
          <w:bCs/>
          <w:color w:val="1A3A5C"/>
          <w:sz w:val="22"/>
          <w:szCs w:val="22"/>
        </w:rPr>
        <w:t xml:space="preserve">Schritt 1 – Atmosphärenschichten (von unten nach oben)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226"/>
      </w:tblGrid>
      <w:tr>
        <w:trPr>
          <w:tblHeader/>
        </w:trPr>
        <w:tc>
          <w:tcPr>
            <w:tcW w:type="dxa" w:w="14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24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Schicht</w:t>
            </w:r>
          </w:p>
        </w:tc>
        <w:tc>
          <w:tcPr>
            <w:tcW w:type="dxa" w:w="5226"/>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Merkmal</w:t>
            </w:r>
          </w:p>
        </w:tc>
      </w:tr>
      <w:tr>
        <w:tc>
          <w:tcPr>
            <w:tcW w:type="dxa" w:w="14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1 (unten)</w:t>
            </w:r>
          </w:p>
        </w:tc>
        <w:tc>
          <w:tcPr>
            <w:tcW w:type="dxa" w:w="24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Troposphäre</w:t>
            </w:r>
          </w:p>
        </w:tc>
        <w:tc>
          <w:tcPr>
            <w:tcW w:type="dxa" w:w="52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Wetter &amp; Flugverkehr</w:t>
            </w:r>
          </w:p>
        </w:tc>
      </w:tr>
      <w:tr>
        <w:tc>
          <w:tcPr>
            <w:tcW w:type="dxa" w:w="14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4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Stratosphäre</w:t>
            </w:r>
          </w:p>
        </w:tc>
        <w:tc>
          <w:tcPr>
            <w:tcW w:type="dxa" w:w="5226"/>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Enthält die Ozonschicht</w:t>
            </w:r>
          </w:p>
        </w:tc>
      </w:tr>
      <w:tr>
        <w:tc>
          <w:tcPr>
            <w:tcW w:type="dxa" w:w="14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4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Mesosphäre</w:t>
            </w:r>
          </w:p>
        </w:tc>
        <w:tc>
          <w:tcPr>
            <w:tcW w:type="dxa" w:w="52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Hier vergühen Sternschnuppen</w:t>
            </w:r>
          </w:p>
        </w:tc>
      </w:tr>
      <w:tr>
        <w:tc>
          <w:tcPr>
            <w:tcW w:type="dxa" w:w="14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4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Thermosphäre</w:t>
            </w:r>
          </w:p>
        </w:tc>
        <w:tc>
          <w:tcPr>
            <w:tcW w:type="dxa" w:w="5226"/>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Polarlichter &amp; Raumstationen</w:t>
            </w:r>
          </w:p>
        </w:tc>
      </w:tr>
      <w:tr>
        <w:tc>
          <w:tcPr>
            <w:tcW w:type="dxa" w:w="14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5 (oben)</w:t>
            </w:r>
          </w:p>
        </w:tc>
        <w:tc>
          <w:tcPr>
            <w:tcW w:type="dxa" w:w="24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Exosphäre</w:t>
            </w:r>
          </w:p>
        </w:tc>
        <w:tc>
          <w:tcPr>
            <w:tcW w:type="dxa" w:w="52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Übergang zum Weltraum</w:t>
            </w:r>
          </w:p>
        </w:tc>
      </w:tr>
    </w:tbl>
    <w:p>
      <w:pPr>
        <w:spacing w:after="60" w:before="0"/>
      </w:pPr>
      <w:r>
        <w:t xml:space="preserve"/>
      </w:r>
    </w:p>
    <w:p>
      <w:pPr>
        <w:pStyle w:val="Heading3"/>
        <w:spacing w:after="60" w:before="200"/>
      </w:pPr>
      <w:r>
        <w:rPr>
          <w:rFonts w:ascii="Arial" w:cs="Arial" w:eastAsia="Arial" w:hAnsi="Arial"/>
          <w:b/>
          <w:bCs/>
          <w:color w:val="1A3A5C"/>
          <w:sz w:val="22"/>
          <w:szCs w:val="22"/>
        </w:rPr>
        <w:t xml:space="preserve">Schritt 2 – Quiz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026"/>
      </w:tblGrid>
      <w:tr>
        <w:trPr>
          <w:tblHeader/>
        </w:trPr>
        <w:tc>
          <w:tcPr>
            <w:tcW w:type="dxa" w:w="34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Frage</w:t>
            </w:r>
          </w:p>
        </w:tc>
        <w:tc>
          <w:tcPr>
            <w:tcW w:type="dxa" w:w="26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Richtige Antwort</w:t>
            </w:r>
          </w:p>
        </w:tc>
        <w:tc>
          <w:tcPr>
            <w:tcW w:type="dxa" w:w="3026"/>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Quelle</w:t>
            </w:r>
          </w:p>
        </w:tc>
      </w:tr>
      <w:tr>
        <w:tc>
          <w:tcPr>
            <w:tcW w:type="dxa" w:w="34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Welche Schicht enthält die Ozonschicht?</w:t>
            </w:r>
          </w:p>
        </w:tc>
        <w:tc>
          <w:tcPr>
            <w:tcW w:type="dxa" w:w="26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Stratosphäre</w:t>
            </w:r>
          </w:p>
        </w:tc>
        <w:tc>
          <w:tcPr>
            <w:tcW w:type="dxa" w:w="30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S. 138, T1</w:t>
            </w:r>
          </w:p>
        </w:tc>
      </w:tr>
      <w:tr>
        <w:tc>
          <w:tcPr>
            <w:tcW w:type="dxa" w:w="34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Aus welcher Höhe sprang Felix Baumgartner?</w:t>
            </w:r>
          </w:p>
        </w:tc>
        <w:tc>
          <w:tcPr>
            <w:tcW w:type="dxa" w:w="26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39.000 m</w:t>
            </w:r>
          </w:p>
        </w:tc>
        <w:tc>
          <w:tcPr>
            <w:tcW w:type="dxa" w:w="3026"/>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 138, T1</w:t>
            </w:r>
          </w:p>
        </w:tc>
      </w:tr>
      <w:tr>
        <w:tc>
          <w:tcPr>
            <w:tcW w:type="dxa" w:w="34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In welcher Schicht findet das Wettergeschehen statt?</w:t>
            </w:r>
          </w:p>
        </w:tc>
        <w:tc>
          <w:tcPr>
            <w:tcW w:type="dxa" w:w="26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Troposphäre</w:t>
            </w:r>
          </w:p>
        </w:tc>
        <w:tc>
          <w:tcPr>
            <w:tcW w:type="dxa" w:w="30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S. 138, T1</w:t>
            </w:r>
          </w:p>
        </w:tc>
      </w:tr>
    </w:tbl>
    <w:p>
      <w:pPr>
        <w:spacing w:after="60" w:before="0"/>
      </w:pPr>
      <w:r>
        <w:t xml:space="preserve"/>
      </w:r>
    </w:p>
    <w:p>
      <w:pPr>
        <w:pStyle w:val="Heading3"/>
        <w:spacing w:after="60" w:before="200"/>
      </w:pPr>
      <w:r>
        <w:rPr>
          <w:rFonts w:ascii="Arial" w:cs="Arial" w:eastAsia="Arial" w:hAnsi="Arial"/>
          <w:b/>
          <w:bCs/>
          <w:color w:val="1A3A5C"/>
          <w:sz w:val="22"/>
          <w:szCs w:val="22"/>
        </w:rPr>
        <w:t xml:space="preserve">Schritt 3 – Notfall-Codewort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3000"/>
        <w:gridCol w:w="1526"/>
      </w:tblGrid>
      <w:tr>
        <w:trPr>
          <w:tblHeader/>
        </w:trPr>
        <w:tc>
          <w:tcPr>
            <w:tcW w:type="dxa" w:w="45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Frage</w:t>
            </w:r>
          </w:p>
        </w:tc>
        <w:tc>
          <w:tcPr>
            <w:tcW w:type="dxa" w:w="30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Codewort</w:t>
            </w:r>
          </w:p>
        </w:tc>
        <w:tc>
          <w:tcPr>
            <w:tcW w:type="dxa" w:w="1526"/>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Ziffer</w:t>
            </w:r>
          </w:p>
        </w:tc>
      </w:tr>
      <w:tr>
        <w:tc>
          <w:tcPr>
            <w:tcW w:type="dxa" w:w="45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Welche Schicht schützt uns vor UV-Strahlung?</w:t>
            </w:r>
          </w:p>
        </w:tc>
        <w:tc>
          <w:tcPr>
            <w:tcW w:type="dxa" w:w="30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OZONSCHICHT</w:t>
            </w:r>
          </w:p>
        </w:tc>
        <w:tc>
          <w:tcPr>
            <w:tcW w:type="dxa" w:w="15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r>
    </w:tbl>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1A3A5C" w:sz="4"/>
              <w:left w:val="single" w:color="1A3A5C" w:sz="4"/>
              <w:bottom w:val="single" w:color="1A3A5C" w:sz="4"/>
              <w:right w:val="single" w:color="1A3A5C" w:sz="4"/>
            </w:tcBorders>
            <w:shd w:fill="1A3A5C"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R2</w:t>
            </w:r>
          </w:p>
        </w:tc>
        <w:tc>
          <w:tcPr>
            <w:tcW w:type="dxa" w:w="7826"/>
            <w:tcBorders>
              <w:top w:val="single" w:color="1A3A5C" w:sz="4"/>
              <w:left w:val="single" w:color="1A3A5C" w:sz="4"/>
              <w:bottom w:val="single" w:color="1A3A5C" w:sz="4"/>
              <w:right w:val="single" w:color="1A3A5C" w:sz="4"/>
            </w:tcBorders>
            <w:shd w:fill="D6E9F8" w:val="clear"/>
            <w:tcMar>
              <w:top w:type="dxa" w:w="100"/>
              <w:left w:type="dxa" w:w="160"/>
              <w:bottom w:type="dxa" w:w="100"/>
              <w:right w:type="dxa" w:w="120"/>
            </w:tcMar>
          </w:tcPr>
          <w:p>
            <w:r>
              <w:rPr>
                <w:rFonts w:ascii="Arial" w:cs="Arial" w:eastAsia="Arial" w:hAnsi="Arial"/>
                <w:b/>
                <w:bCs/>
                <w:color w:val="1A3A5C"/>
                <w:sz w:val="26"/>
                <w:szCs w:val="26"/>
              </w:rPr>
              <w:t xml:space="preserve">H₂O-System – Wasserkreislauf</w:t>
            </w:r>
          </w:p>
          <w:p>
            <w:r>
              <w:rPr>
                <w:rFonts w:ascii="Arial" w:cs="Arial" w:eastAsia="Arial" w:hAnsi="Arial"/>
                <w:color w:val="5A6270"/>
                <w:sz w:val="20"/>
                <w:szCs w:val="20"/>
              </w:rPr>
              <w:t xml:space="preserve">Schulbuch: S. 140–141</w:t>
            </w:r>
          </w:p>
        </w:tc>
      </w:tr>
    </w:tbl>
    <w:p>
      <w:pPr>
        <w:spacing w:after="60" w:before="0"/>
      </w:pPr>
      <w:r>
        <w:t xml:space="preserve"/>
      </w:r>
    </w:p>
    <w:p>
      <w:pPr>
        <w:pStyle w:val="Heading3"/>
        <w:spacing w:after="60" w:before="200"/>
      </w:pPr>
      <w:r>
        <w:rPr>
          <w:rFonts w:ascii="Arial" w:cs="Arial" w:eastAsia="Arial" w:hAnsi="Arial"/>
          <w:b/>
          <w:bCs/>
          <w:color w:val="1A3A5C"/>
          <w:sz w:val="22"/>
          <w:szCs w:val="22"/>
        </w:rPr>
        <w:t xml:space="preserve">Schritt 1 – Wasserkreislauf in Reihenfolge bringen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Schritt</w:t>
            </w:r>
          </w:p>
        </w:tc>
        <w:tc>
          <w:tcPr>
            <w:tcW w:type="dxa" w:w="7826"/>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12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78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Verdunstung über dem Meer</w:t>
            </w:r>
          </w:p>
        </w:tc>
      </w:tr>
      <w:tr>
        <w:tc>
          <w:tcPr>
            <w:tcW w:type="dxa" w:w="12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7826"/>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Wolkenbildung (Kondensation)</w:t>
            </w:r>
          </w:p>
        </w:tc>
      </w:tr>
      <w:tr>
        <w:tc>
          <w:tcPr>
            <w:tcW w:type="dxa" w:w="12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78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Niederschlag (Regen/Schnee)</w:t>
            </w:r>
          </w:p>
        </w:tc>
      </w:tr>
      <w:tr>
        <w:tc>
          <w:tcPr>
            <w:tcW w:type="dxa" w:w="12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7826"/>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Versickerung / Abfluss über Flüsse</w:t>
            </w:r>
          </w:p>
        </w:tc>
      </w:tr>
      <w:tr>
        <w:tc>
          <w:tcPr>
            <w:tcW w:type="dxa" w:w="12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78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Rückkehr ins Meer</w:t>
            </w:r>
          </w:p>
        </w:tc>
      </w:tr>
    </w:tbl>
    <w:p>
      <w:pPr>
        <w:spacing w:after="60" w:before="0"/>
      </w:pPr>
      <w:r>
        <w:t xml:space="preserve"/>
      </w:r>
    </w:p>
    <w:p>
      <w:pPr>
        <w:pStyle w:val="Heading3"/>
        <w:spacing w:after="60" w:before="200"/>
      </w:pPr>
      <w:r>
        <w:rPr>
          <w:rFonts w:ascii="Arial" w:cs="Arial" w:eastAsia="Arial" w:hAnsi="Arial"/>
          <w:b/>
          <w:bCs/>
          <w:color w:val="1A3A5C"/>
          <w:sz w:val="22"/>
          <w:szCs w:val="22"/>
        </w:rPr>
        <w:t xml:space="preserve">Schritt 2 – Lückentext (T3 und T4, S. 141)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26"/>
      </w:tblGrid>
      <w:tr>
        <w:trPr>
          <w:tblHeader/>
        </w:trPr>
        <w:tc>
          <w:tcPr>
            <w:tcW w:type="dxa" w:w="30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Lücke</w:t>
            </w:r>
          </w:p>
        </w:tc>
        <w:tc>
          <w:tcPr>
            <w:tcW w:type="dxa" w:w="28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Richtige Antwort</w:t>
            </w:r>
          </w:p>
        </w:tc>
        <w:tc>
          <w:tcPr>
            <w:tcW w:type="dxa" w:w="3226"/>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Quelle</w:t>
            </w:r>
          </w:p>
        </w:tc>
      </w:tr>
      <w:tr>
        <w:tc>
          <w:tcPr>
            <w:tcW w:type="dxa" w:w="30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 des Sees</w:t>
            </w:r>
          </w:p>
        </w:tc>
        <w:tc>
          <w:tcPr>
            <w:tcW w:type="dxa" w:w="28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Aralsee</w:t>
            </w:r>
          </w:p>
        </w:tc>
        <w:tc>
          <w:tcPr>
            <w:tcW w:type="dxa" w:w="32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T4, S. 141</w:t>
            </w:r>
          </w:p>
        </w:tc>
      </w:tr>
      <w:tr>
        <w:tc>
          <w:tcPr>
            <w:tcW w:type="dxa" w:w="30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Anzahl der speisenden Flüsse</w:t>
            </w:r>
          </w:p>
        </w:tc>
        <w:tc>
          <w:tcPr>
            <w:tcW w:type="dxa" w:w="28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226"/>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T4, S. 141</w:t>
            </w:r>
          </w:p>
        </w:tc>
      </w:tr>
      <w:tr>
        <w:tc>
          <w:tcPr>
            <w:tcW w:type="dxa" w:w="30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Zeitraum in Millionen Jahren</w:t>
            </w:r>
          </w:p>
        </w:tc>
        <w:tc>
          <w:tcPr>
            <w:tcW w:type="dxa" w:w="28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50</w:t>
            </w:r>
          </w:p>
        </w:tc>
        <w:tc>
          <w:tcPr>
            <w:tcW w:type="dxa" w:w="32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T3, S. 141</w:t>
            </w:r>
          </w:p>
        </w:tc>
      </w:tr>
      <w:tr>
        <w:tc>
          <w:tcPr>
            <w:tcW w:type="dxa" w:w="30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Temperaturunterschied in °C</w:t>
            </w:r>
          </w:p>
        </w:tc>
        <w:tc>
          <w:tcPr>
            <w:tcW w:type="dxa" w:w="28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3226"/>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T3, S. 141</w:t>
            </w:r>
          </w:p>
        </w:tc>
      </w:tr>
    </w:tbl>
    <w:p>
      <w:pPr>
        <w:spacing w:after="60" w:before="0"/>
      </w:pPr>
      <w:r>
        <w:t xml:space="preserve"/>
      </w:r>
    </w:p>
    <w:p>
      <w:pPr>
        <w:pStyle w:val="Heading3"/>
        <w:spacing w:after="60" w:before="200"/>
      </w:pPr>
      <w:r>
        <w:rPr>
          <w:rFonts w:ascii="Arial" w:cs="Arial" w:eastAsia="Arial" w:hAnsi="Arial"/>
          <w:b/>
          <w:bCs/>
          <w:color w:val="1A3A5C"/>
          <w:sz w:val="22"/>
          <w:szCs w:val="22"/>
        </w:rPr>
        <w:t xml:space="preserve">Schritt 3 – Süßwasser-Anteil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2400"/>
        <w:gridCol w:w="1326"/>
      </w:tblGrid>
      <w:tr>
        <w:trPr>
          <w:tblHeader/>
        </w:trPr>
        <w:tc>
          <w:tcPr>
            <w:tcW w:type="dxa" w:w="35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Frage</w:t>
            </w:r>
          </w:p>
        </w:tc>
        <w:tc>
          <w:tcPr>
            <w:tcW w:type="dxa" w:w="18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Antwort</w:t>
            </w:r>
          </w:p>
        </w:tc>
        <w:tc>
          <w:tcPr>
            <w:tcW w:type="dxa" w:w="24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Quelle</w:t>
            </w:r>
          </w:p>
        </w:tc>
        <w:tc>
          <w:tcPr>
            <w:tcW w:type="dxa" w:w="1326"/>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Ziffer</w:t>
            </w:r>
          </w:p>
        </w:tc>
      </w:tr>
      <w:tr>
        <w:tc>
          <w:tcPr>
            <w:tcW w:type="dxa" w:w="35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Wie viel Prozent des Wassers der Erde sind Süßwasser?</w:t>
            </w:r>
          </w:p>
        </w:tc>
        <w:tc>
          <w:tcPr>
            <w:tcW w:type="dxa" w:w="18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2,5 %</w:t>
            </w:r>
          </w:p>
        </w:tc>
        <w:tc>
          <w:tcPr>
            <w:tcW w:type="dxa" w:w="24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Diagramm M2, S. 141</w:t>
            </w:r>
          </w:p>
        </w:tc>
        <w:tc>
          <w:tcPr>
            <w:tcW w:type="dxa" w:w="13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r>
    </w:tbl>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1A3A5C" w:sz="4"/>
              <w:left w:val="single" w:color="1A3A5C" w:sz="4"/>
              <w:bottom w:val="single" w:color="1A3A5C" w:sz="4"/>
              <w:right w:val="single" w:color="1A3A5C" w:sz="4"/>
            </w:tcBorders>
            <w:shd w:fill="1A3A5C"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R3</w:t>
            </w:r>
          </w:p>
        </w:tc>
        <w:tc>
          <w:tcPr>
            <w:tcW w:type="dxa" w:w="7826"/>
            <w:tcBorders>
              <w:top w:val="single" w:color="1A3A5C" w:sz="4"/>
              <w:left w:val="single" w:color="1A3A5C" w:sz="4"/>
              <w:bottom w:val="single" w:color="1A3A5C" w:sz="4"/>
              <w:right w:val="single" w:color="1A3A5C" w:sz="4"/>
            </w:tcBorders>
            <w:shd w:fill="D6E9F8" w:val="clear"/>
            <w:tcMar>
              <w:top w:type="dxa" w:w="100"/>
              <w:left w:type="dxa" w:w="160"/>
              <w:bottom w:type="dxa" w:w="100"/>
              <w:right w:type="dxa" w:w="120"/>
            </w:tcMar>
          </w:tcPr>
          <w:p>
            <w:r>
              <w:rPr>
                <w:rFonts w:ascii="Arial" w:cs="Arial" w:eastAsia="Arial" w:hAnsi="Arial"/>
                <w:b/>
                <w:bCs/>
                <w:color w:val="1A3A5C"/>
                <w:sz w:val="26"/>
                <w:szCs w:val="26"/>
              </w:rPr>
              <w:t xml:space="preserve">Wettersensor-Array – Wirbelsturme</w:t>
            </w:r>
          </w:p>
          <w:p>
            <w:r>
              <w:rPr>
                <w:rFonts w:ascii="Arial" w:cs="Arial" w:eastAsia="Arial" w:hAnsi="Arial"/>
                <w:color w:val="5A6270"/>
                <w:sz w:val="20"/>
                <w:szCs w:val="20"/>
              </w:rPr>
              <w:t xml:space="preserve">Schulbuch: S. 142–143</w:t>
            </w:r>
          </w:p>
        </w:tc>
      </w:tr>
    </w:tbl>
    <w:p>
      <w:pPr>
        <w:spacing w:after="60" w:before="0"/>
      </w:pPr>
      <w:r>
        <w:t xml:space="preserve"/>
      </w:r>
    </w:p>
    <w:p>
      <w:pPr>
        <w:pStyle w:val="Heading3"/>
        <w:spacing w:after="60" w:before="200"/>
      </w:pPr>
      <w:r>
        <w:rPr>
          <w:rFonts w:ascii="Arial" w:cs="Arial" w:eastAsia="Arial" w:hAnsi="Arial"/>
          <w:b/>
          <w:bCs/>
          <w:color w:val="1A3A5C"/>
          <w:sz w:val="22"/>
          <w:szCs w:val="22"/>
        </w:rPr>
        <w:t xml:space="preserve">Schritt 1 – Hurrikan / Tornado zuordnen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026"/>
      </w:tblGrid>
      <w:tr>
        <w:trPr>
          <w:tblHeader/>
        </w:trPr>
        <w:tc>
          <w:tcPr>
            <w:tcW w:type="dxa" w:w="40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Eigenschaft</w:t>
            </w:r>
          </w:p>
        </w:tc>
        <w:tc>
          <w:tcPr>
            <w:tcW w:type="dxa" w:w="20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Kategorie</w:t>
            </w:r>
          </w:p>
        </w:tc>
        <w:tc>
          <w:tcPr>
            <w:tcW w:type="dxa" w:w="3026"/>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Quelle</w:t>
            </w:r>
          </w:p>
        </w:tc>
      </w:tr>
      <w:tr>
        <w:tc>
          <w:tcPr>
            <w:tcW w:type="dxa" w:w="40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Entsteht über warmem Meer (≥ 27 °C)</w:t>
            </w:r>
          </w:p>
        </w:tc>
        <w:tc>
          <w:tcPr>
            <w:tcW w:type="dxa" w:w="20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HURRIKAN</w:t>
            </w:r>
          </w:p>
        </w:tc>
        <w:tc>
          <w:tcPr>
            <w:tcW w:type="dxa" w:w="30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T1, S. 142</w:t>
            </w:r>
          </w:p>
        </w:tc>
      </w:tr>
      <w:tr>
        <w:tc>
          <w:tcPr>
            <w:tcW w:type="dxa" w:w="40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Entsteht durch erhitzte Luft über dem Boden</w:t>
            </w:r>
          </w:p>
        </w:tc>
        <w:tc>
          <w:tcPr>
            <w:tcW w:type="dxa" w:w="20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TORNADO</w:t>
            </w:r>
          </w:p>
        </w:tc>
        <w:tc>
          <w:tcPr>
            <w:tcW w:type="dxa" w:w="3026"/>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T2, S. 143</w:t>
            </w:r>
          </w:p>
        </w:tc>
      </w:tr>
      <w:tr>
        <w:tc>
          <w:tcPr>
            <w:tcW w:type="dxa" w:w="40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Dauert 5–10 Tage</w:t>
            </w:r>
          </w:p>
        </w:tc>
        <w:tc>
          <w:tcPr>
            <w:tcW w:type="dxa" w:w="20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HURRIKAN</w:t>
            </w:r>
          </w:p>
        </w:tc>
        <w:tc>
          <w:tcPr>
            <w:tcW w:type="dxa" w:w="30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T1, S. 142</w:t>
            </w:r>
          </w:p>
        </w:tc>
      </w:tr>
      <w:tr>
        <w:tc>
          <w:tcPr>
            <w:tcW w:type="dxa" w:w="40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Dauert oft nur Minuten</w:t>
            </w:r>
          </w:p>
        </w:tc>
        <w:tc>
          <w:tcPr>
            <w:tcW w:type="dxa" w:w="20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TORNADO</w:t>
            </w:r>
          </w:p>
        </w:tc>
        <w:tc>
          <w:tcPr>
            <w:tcW w:type="dxa" w:w="3026"/>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T2, S. 143</w:t>
            </w:r>
          </w:p>
        </w:tc>
      </w:tr>
      <w:tr>
        <w:tc>
          <w:tcPr>
            <w:tcW w:type="dxa" w:w="40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Windgeschwindigkeit bis 350 km/h</w:t>
            </w:r>
          </w:p>
        </w:tc>
        <w:tc>
          <w:tcPr>
            <w:tcW w:type="dxa" w:w="20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HURRIKAN</w:t>
            </w:r>
          </w:p>
        </w:tc>
        <w:tc>
          <w:tcPr>
            <w:tcW w:type="dxa" w:w="30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T1, S. 142</w:t>
            </w:r>
          </w:p>
        </w:tc>
      </w:tr>
      <w:tr>
        <w:tc>
          <w:tcPr>
            <w:tcW w:type="dxa" w:w="40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Windgeschwindigkeit bis 500 km/h</w:t>
            </w:r>
          </w:p>
        </w:tc>
        <w:tc>
          <w:tcPr>
            <w:tcW w:type="dxa" w:w="20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TORNADO</w:t>
            </w:r>
          </w:p>
        </w:tc>
        <w:tc>
          <w:tcPr>
            <w:tcW w:type="dxa" w:w="3026"/>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T2, S. 143</w:t>
            </w:r>
          </w:p>
        </w:tc>
      </w:tr>
      <w:tr>
        <w:tc>
          <w:tcPr>
            <w:tcW w:type="dxa" w:w="40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Durchmesser: einige hundert km</w:t>
            </w:r>
          </w:p>
        </w:tc>
        <w:tc>
          <w:tcPr>
            <w:tcW w:type="dxa" w:w="20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HURRIKAN</w:t>
            </w:r>
          </w:p>
        </w:tc>
        <w:tc>
          <w:tcPr>
            <w:tcW w:type="dxa" w:w="30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T1, S. 142</w:t>
            </w:r>
          </w:p>
        </w:tc>
      </w:tr>
      <w:tr>
        <w:tc>
          <w:tcPr>
            <w:tcW w:type="dxa" w:w="40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Durchmesser: 20 m bis 1 km</w:t>
            </w:r>
          </w:p>
        </w:tc>
        <w:tc>
          <w:tcPr>
            <w:tcW w:type="dxa" w:w="20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TORNADO</w:t>
            </w:r>
          </w:p>
        </w:tc>
        <w:tc>
          <w:tcPr>
            <w:tcW w:type="dxa" w:w="3026"/>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T2, S. 143</w:t>
            </w:r>
          </w:p>
        </w:tc>
      </w:tr>
      <w:tr>
        <w:tc>
          <w:tcPr>
            <w:tcW w:type="dxa" w:w="40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Hat ein "Auge" in der Mitte</w:t>
            </w:r>
          </w:p>
        </w:tc>
        <w:tc>
          <w:tcPr>
            <w:tcW w:type="dxa" w:w="20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HURRIKAN</w:t>
            </w:r>
          </w:p>
        </w:tc>
        <w:tc>
          <w:tcPr>
            <w:tcW w:type="dxa" w:w="30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T1, S. 142</w:t>
            </w:r>
          </w:p>
        </w:tc>
      </w:tr>
      <w:tr>
        <w:tc>
          <w:tcPr>
            <w:tcW w:type="dxa" w:w="40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Bildet einen "Rüssel" zum Boden</w:t>
            </w:r>
          </w:p>
        </w:tc>
        <w:tc>
          <w:tcPr>
            <w:tcW w:type="dxa" w:w="20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TORNADO</w:t>
            </w:r>
          </w:p>
        </w:tc>
        <w:tc>
          <w:tcPr>
            <w:tcW w:type="dxa" w:w="3026"/>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T2, S. 143</w:t>
            </w:r>
          </w:p>
        </w:tc>
      </w:tr>
    </w:tbl>
    <w:p>
      <w:pPr>
        <w:spacing w:after="60" w:before="0"/>
      </w:pPr>
      <w:r>
        <w:t xml:space="preserve"/>
      </w:r>
    </w:p>
    <w:p>
      <w:pPr>
        <w:pStyle w:val="Heading3"/>
        <w:spacing w:after="60" w:before="200"/>
      </w:pPr>
      <w:r>
        <w:rPr>
          <w:rFonts w:ascii="Arial" w:cs="Arial" w:eastAsia="Arial" w:hAnsi="Arial"/>
          <w:b/>
          <w:bCs/>
          <w:color w:val="1A3A5C"/>
          <w:sz w:val="22"/>
          <w:szCs w:val="22"/>
        </w:rPr>
        <w:t xml:space="preserve">Schritt 2 – Schadenshöhe Hurrikan Sandy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000"/>
        <w:gridCol w:w="2800"/>
        <w:gridCol w:w="1226"/>
      </w:tblGrid>
      <w:tr>
        <w:trPr>
          <w:tblHeader/>
        </w:trPr>
        <w:tc>
          <w:tcPr>
            <w:tcW w:type="dxa" w:w="40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Frage</w:t>
            </w:r>
          </w:p>
        </w:tc>
        <w:tc>
          <w:tcPr>
            <w:tcW w:type="dxa" w:w="10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Antwort</w:t>
            </w:r>
          </w:p>
        </w:tc>
        <w:tc>
          <w:tcPr>
            <w:tcW w:type="dxa" w:w="28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Quelle</w:t>
            </w:r>
          </w:p>
        </w:tc>
        <w:tc>
          <w:tcPr>
            <w:tcW w:type="dxa" w:w="1226"/>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Ziffer</w:t>
            </w:r>
          </w:p>
        </w:tc>
      </w:tr>
      <w:tr>
        <w:tc>
          <w:tcPr>
            <w:tcW w:type="dxa" w:w="40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Schaden durch Hurrikan Sandy in Mrd. US-Dollar</w:t>
            </w:r>
          </w:p>
        </w:tc>
        <w:tc>
          <w:tcPr>
            <w:tcW w:type="dxa" w:w="10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75</w:t>
            </w:r>
          </w:p>
        </w:tc>
        <w:tc>
          <w:tcPr>
            <w:tcW w:type="dxa" w:w="28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Kasten "Hurrikan Sandy", S. 142</w:t>
            </w:r>
          </w:p>
        </w:tc>
        <w:tc>
          <w:tcPr>
            <w:tcW w:type="dxa" w:w="12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r>
    </w:tbl>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1A3A5C" w:sz="4"/>
              <w:left w:val="single" w:color="1A3A5C" w:sz="4"/>
              <w:bottom w:val="single" w:color="1A3A5C" w:sz="4"/>
              <w:right w:val="single" w:color="1A3A5C" w:sz="4"/>
            </w:tcBorders>
            <w:shd w:fill="1A3A5C"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R4</w:t>
            </w:r>
          </w:p>
        </w:tc>
        <w:tc>
          <w:tcPr>
            <w:tcW w:type="dxa" w:w="7826"/>
            <w:tcBorders>
              <w:top w:val="single" w:color="1A3A5C" w:sz="4"/>
              <w:left w:val="single" w:color="1A3A5C" w:sz="4"/>
              <w:bottom w:val="single" w:color="1A3A5C" w:sz="4"/>
              <w:right w:val="single" w:color="1A3A5C" w:sz="4"/>
            </w:tcBorders>
            <w:shd w:fill="D6E9F8" w:val="clear"/>
            <w:tcMar>
              <w:top w:type="dxa" w:w="100"/>
              <w:left w:type="dxa" w:w="160"/>
              <w:bottom w:type="dxa" w:w="100"/>
              <w:right w:type="dxa" w:w="120"/>
            </w:tcMar>
          </w:tcPr>
          <w:p>
            <w:r>
              <w:rPr>
                <w:rFonts w:ascii="Arial" w:cs="Arial" w:eastAsia="Arial" w:hAnsi="Arial"/>
                <w:b/>
                <w:bCs/>
                <w:color w:val="1A3A5C"/>
                <w:sz w:val="26"/>
                <w:szCs w:val="26"/>
              </w:rPr>
              <w:t xml:space="preserve">Energiekern – Treibhauseffekt</w:t>
            </w:r>
          </w:p>
          <w:p>
            <w:r>
              <w:rPr>
                <w:rFonts w:ascii="Arial" w:cs="Arial" w:eastAsia="Arial" w:hAnsi="Arial"/>
                <w:color w:val="5A6270"/>
                <w:sz w:val="20"/>
                <w:szCs w:val="20"/>
              </w:rPr>
              <w:t xml:space="preserve">Schulbuch: S. 146–147</w:t>
            </w:r>
          </w:p>
        </w:tc>
      </w:tr>
    </w:tbl>
    <w:p>
      <w:pPr>
        <w:spacing w:after="60" w:before="0"/>
      </w:pPr>
      <w:r>
        <w:t xml:space="preserve"/>
      </w:r>
    </w:p>
    <w:p>
      <w:pPr>
        <w:pStyle w:val="Heading3"/>
        <w:spacing w:after="60" w:before="200"/>
      </w:pPr>
      <w:r>
        <w:rPr>
          <w:rFonts w:ascii="Arial" w:cs="Arial" w:eastAsia="Arial" w:hAnsi="Arial"/>
          <w:b/>
          <w:bCs/>
          <w:color w:val="1A3A5C"/>
          <w:sz w:val="22"/>
          <w:szCs w:val="22"/>
        </w:rPr>
        <w:t xml:space="preserve">Schritt 1 – Lückentext Treibhauseffekt (T1 und T2, S. 146)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26"/>
      </w:tblGrid>
      <w:tr>
        <w:trPr>
          <w:tblHeader/>
        </w:trPr>
        <w:tc>
          <w:tcPr>
            <w:tcW w:type="dxa" w:w="30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Lücke</w:t>
            </w:r>
          </w:p>
        </w:tc>
        <w:tc>
          <w:tcPr>
            <w:tcW w:type="dxa" w:w="28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Richtige Antwort</w:t>
            </w:r>
          </w:p>
        </w:tc>
        <w:tc>
          <w:tcPr>
            <w:tcW w:type="dxa" w:w="3226"/>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Quelle</w:t>
            </w:r>
          </w:p>
        </w:tc>
      </w:tr>
      <w:tr>
        <w:tc>
          <w:tcPr>
            <w:tcW w:type="dxa" w:w="30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Treibhausgas 1 (Formel)</w:t>
            </w:r>
          </w:p>
        </w:tc>
        <w:tc>
          <w:tcPr>
            <w:tcW w:type="dxa" w:w="28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CO2 (Kohlenstoffdioxid)</w:t>
            </w:r>
          </w:p>
        </w:tc>
        <w:tc>
          <w:tcPr>
            <w:tcW w:type="dxa" w:w="32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T1, S. 146</w:t>
            </w:r>
          </w:p>
        </w:tc>
      </w:tr>
      <w:tr>
        <w:tc>
          <w:tcPr>
            <w:tcW w:type="dxa" w:w="30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Treibhausgas 2 (Formel)</w:t>
            </w:r>
          </w:p>
        </w:tc>
        <w:tc>
          <w:tcPr>
            <w:tcW w:type="dxa" w:w="28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CH4 (Methan)</w:t>
            </w:r>
          </w:p>
        </w:tc>
        <w:tc>
          <w:tcPr>
            <w:tcW w:type="dxa" w:w="3226"/>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 S. 146</w:t>
            </w:r>
          </w:p>
        </w:tc>
      </w:tr>
      <w:tr>
        <w:tc>
          <w:tcPr>
            <w:tcW w:type="dxa" w:w="30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Wie wirken Treibhausgase?</w:t>
            </w:r>
          </w:p>
        </w:tc>
        <w:tc>
          <w:tcPr>
            <w:tcW w:type="dxa" w:w="28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wie das Glas (eines Treibhauses)</w:t>
            </w:r>
          </w:p>
        </w:tc>
        <w:tc>
          <w:tcPr>
            <w:tcW w:type="dxa" w:w="32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T1, S. 146</w:t>
            </w:r>
          </w:p>
        </w:tc>
      </w:tr>
      <w:tr>
        <w:tc>
          <w:tcPr>
            <w:tcW w:type="dxa" w:w="30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Temperatur ohne Treibhauseffekt</w:t>
            </w:r>
          </w:p>
        </w:tc>
        <w:tc>
          <w:tcPr>
            <w:tcW w:type="dxa" w:w="28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 °C</w:t>
            </w:r>
          </w:p>
        </w:tc>
        <w:tc>
          <w:tcPr>
            <w:tcW w:type="dxa" w:w="3226"/>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 S. 146</w:t>
            </w:r>
          </w:p>
        </w:tc>
      </w:tr>
      <w:tr>
        <w:tc>
          <w:tcPr>
            <w:tcW w:type="dxa" w:w="30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Heutige Durchschnittstemperatur</w:t>
            </w:r>
          </w:p>
        </w:tc>
        <w:tc>
          <w:tcPr>
            <w:tcW w:type="dxa" w:w="28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+15 °C</w:t>
            </w:r>
          </w:p>
        </w:tc>
        <w:tc>
          <w:tcPr>
            <w:tcW w:type="dxa" w:w="32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T1, S. 146</w:t>
            </w:r>
          </w:p>
        </w:tc>
      </w:tr>
      <w:tr>
        <w:tc>
          <w:tcPr>
            <w:tcW w:type="dxa" w:w="30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Art des menschlich verstärkten Effekts</w:t>
            </w:r>
          </w:p>
        </w:tc>
        <w:tc>
          <w:tcPr>
            <w:tcW w:type="dxa" w:w="28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anthropogen</w:t>
            </w:r>
          </w:p>
        </w:tc>
        <w:tc>
          <w:tcPr>
            <w:tcW w:type="dxa" w:w="3226"/>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T2, S. 146</w:t>
            </w:r>
          </w:p>
        </w:tc>
      </w:tr>
    </w:tbl>
    <w:p>
      <w:pPr>
        <w:spacing w:after="60" w:before="0"/>
      </w:pPr>
      <w:r>
        <w:t xml:space="preserve"/>
      </w:r>
    </w:p>
    <w:p>
      <w:pPr>
        <w:pStyle w:val="Heading3"/>
        <w:spacing w:after="60" w:before="200"/>
      </w:pPr>
      <w:r>
        <w:rPr>
          <w:rFonts w:ascii="Arial" w:cs="Arial" w:eastAsia="Arial" w:hAnsi="Arial"/>
          <w:b/>
          <w:bCs/>
          <w:color w:val="1A3A5C"/>
          <w:sz w:val="22"/>
          <w:szCs w:val="22"/>
        </w:rPr>
        <w:t xml:space="preserve">Schritt 2 – Quellen des anthropogenen Treibhauseffekts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026"/>
      </w:tblGrid>
      <w:tr>
        <w:trPr>
          <w:tblHeader/>
        </w:trPr>
        <w:tc>
          <w:tcPr>
            <w:tcW w:type="dxa" w:w="45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Aussage</w:t>
            </w:r>
          </w:p>
        </w:tc>
        <w:tc>
          <w:tcPr>
            <w:tcW w:type="dxa" w:w="15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Korrekt?</w:t>
            </w:r>
          </w:p>
        </w:tc>
        <w:tc>
          <w:tcPr>
            <w:tcW w:type="dxa" w:w="3026"/>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Quelle</w:t>
            </w:r>
          </w:p>
        </w:tc>
      </w:tr>
      <w:tr>
        <w:tc>
          <w:tcPr>
            <w:tcW w:type="dxa" w:w="4500"/>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Verbrennen von Kohle, Öl und Gas</w:t>
            </w:r>
          </w:p>
        </w:tc>
        <w:tc>
          <w:tcPr>
            <w:tcW w:type="dxa" w:w="1500"/>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 JA</w:t>
            </w:r>
          </w:p>
        </w:tc>
        <w:tc>
          <w:tcPr>
            <w:tcW w:type="dxa" w:w="3026"/>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T2, S. 146</w:t>
            </w:r>
          </w:p>
        </w:tc>
      </w:tr>
      <w:tr>
        <w:tc>
          <w:tcPr>
            <w:tcW w:type="dxa" w:w="45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Photosynthese der Wälder</w:t>
            </w:r>
          </w:p>
        </w:tc>
        <w:tc>
          <w:tcPr>
            <w:tcW w:type="dxa" w:w="15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NEIN</w:t>
            </w:r>
          </w:p>
        </w:tc>
        <w:tc>
          <w:tcPr>
            <w:tcW w:type="dxa" w:w="3026"/>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(bindet CO₂)</w:t>
            </w:r>
          </w:p>
        </w:tc>
      </w:tr>
      <w:tr>
        <w:tc>
          <w:tcPr>
            <w:tcW w:type="dxa" w:w="4500"/>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Industrieproduktion</w:t>
            </w:r>
          </w:p>
        </w:tc>
        <w:tc>
          <w:tcPr>
            <w:tcW w:type="dxa" w:w="1500"/>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 JA</w:t>
            </w:r>
          </w:p>
        </w:tc>
        <w:tc>
          <w:tcPr>
            <w:tcW w:type="dxa" w:w="3026"/>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T2, S. 146</w:t>
            </w:r>
          </w:p>
        </w:tc>
      </w:tr>
      <w:tr>
        <w:tc>
          <w:tcPr>
            <w:tcW w:type="dxa" w:w="45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Vulkanausbrüche der letzten 1000 Jahre</w:t>
            </w:r>
          </w:p>
        </w:tc>
        <w:tc>
          <w:tcPr>
            <w:tcW w:type="dxa" w:w="15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NEIN</w:t>
            </w:r>
          </w:p>
        </w:tc>
        <w:tc>
          <w:tcPr>
            <w:tcW w:type="dxa" w:w="3026"/>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(natürlich)</w:t>
            </w:r>
          </w:p>
        </w:tc>
      </w:tr>
      <w:tr>
        <w:tc>
          <w:tcPr>
            <w:tcW w:type="dxa" w:w="4500"/>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Verkehr und Energiegewinnung</w:t>
            </w:r>
          </w:p>
        </w:tc>
        <w:tc>
          <w:tcPr>
            <w:tcW w:type="dxa" w:w="1500"/>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 JA</w:t>
            </w:r>
          </w:p>
        </w:tc>
        <w:tc>
          <w:tcPr>
            <w:tcW w:type="dxa" w:w="3026"/>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T2, S. 146</w:t>
            </w:r>
          </w:p>
        </w:tc>
      </w:tr>
      <w:tr>
        <w:tc>
          <w:tcPr>
            <w:tcW w:type="dxa" w:w="4500"/>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Methan aus der Landwirtschaft</w:t>
            </w:r>
          </w:p>
        </w:tc>
        <w:tc>
          <w:tcPr>
            <w:tcW w:type="dxa" w:w="1500"/>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 JA</w:t>
            </w:r>
          </w:p>
        </w:tc>
        <w:tc>
          <w:tcPr>
            <w:tcW w:type="dxa" w:w="3026"/>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T2, S. 146</w:t>
            </w:r>
          </w:p>
        </w:tc>
      </w:tr>
    </w:tbl>
    <w:p>
      <w:pPr>
        <w:spacing w:after="100" w:before="60"/>
        <w:jc w:val="both"/>
      </w:pPr>
      <w:r>
        <w:rPr>
          <w:rFonts w:ascii="Arial" w:cs="Arial" w:eastAsia="Arial" w:hAnsi="Arial"/>
          <w:color w:val="000000"/>
          <w:sz w:val="22"/>
          <w:szCs w:val="22"/>
        </w:rPr>
        <w:t xml:space="preserve">→ Freigeschaltete Ziffer: 9</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1A3A5C" w:sz="4"/>
              <w:left w:val="single" w:color="1A3A5C" w:sz="4"/>
              <w:bottom w:val="single" w:color="1A3A5C" w:sz="4"/>
              <w:right w:val="single" w:color="1A3A5C" w:sz="4"/>
            </w:tcBorders>
            <w:shd w:fill="1A3A5C"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R5</w:t>
            </w:r>
          </w:p>
        </w:tc>
        <w:tc>
          <w:tcPr>
            <w:tcW w:type="dxa" w:w="7826"/>
            <w:tcBorders>
              <w:top w:val="single" w:color="1A3A5C" w:sz="4"/>
              <w:left w:val="single" w:color="1A3A5C" w:sz="4"/>
              <w:bottom w:val="single" w:color="1A3A5C" w:sz="4"/>
              <w:right w:val="single" w:color="1A3A5C" w:sz="4"/>
            </w:tcBorders>
            <w:shd w:fill="D6E9F8" w:val="clear"/>
            <w:tcMar>
              <w:top w:type="dxa" w:w="100"/>
              <w:left w:type="dxa" w:w="160"/>
              <w:bottom w:type="dxa" w:w="100"/>
              <w:right w:type="dxa" w:w="120"/>
            </w:tcMar>
          </w:tcPr>
          <w:p>
            <w:r>
              <w:rPr>
                <w:rFonts w:ascii="Arial" w:cs="Arial" w:eastAsia="Arial" w:hAnsi="Arial"/>
                <w:b/>
                <w:bCs/>
                <w:color w:val="1A3A5C"/>
                <w:sz w:val="26"/>
                <w:szCs w:val="26"/>
              </w:rPr>
              <w:t xml:space="preserve">Datenarchiv – Klimadaten</w:t>
            </w:r>
          </w:p>
          <w:p>
            <w:r>
              <w:rPr>
                <w:rFonts w:ascii="Arial" w:cs="Arial" w:eastAsia="Arial" w:hAnsi="Arial"/>
                <w:color w:val="5A6270"/>
                <w:sz w:val="20"/>
                <w:szCs w:val="20"/>
              </w:rPr>
              <w:t xml:space="preserve">Schulbuch: S. 144–151</w:t>
            </w:r>
          </w:p>
        </w:tc>
      </w:tr>
    </w:tbl>
    <w:p>
      <w:pPr>
        <w:spacing w:after="60" w:before="0"/>
      </w:pPr>
      <w:r>
        <w:t xml:space="preserve"/>
      </w:r>
    </w:p>
    <w:p>
      <w:pPr>
        <w:pStyle w:val="Heading3"/>
        <w:spacing w:after="60" w:before="200"/>
      </w:pPr>
      <w:r>
        <w:rPr>
          <w:rFonts w:ascii="Arial" w:cs="Arial" w:eastAsia="Arial" w:hAnsi="Arial"/>
          <w:b/>
          <w:bCs/>
          <w:color w:val="1A3A5C"/>
          <w:sz w:val="22"/>
          <w:szCs w:val="22"/>
        </w:rPr>
        <w:t xml:space="preserve">Datensatz A – Frage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026"/>
      </w:tblGrid>
      <w:tr>
        <w:trPr>
          <w:tblHeader/>
        </w:trPr>
        <w:tc>
          <w:tcPr>
            <w:tcW w:type="dxa" w:w="45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Frage</w:t>
            </w:r>
          </w:p>
        </w:tc>
        <w:tc>
          <w:tcPr>
            <w:tcW w:type="dxa" w:w="25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Richtige Antwort</w:t>
            </w:r>
          </w:p>
        </w:tc>
        <w:tc>
          <w:tcPr>
            <w:tcW w:type="dxa" w:w="2026"/>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Quelle</w:t>
            </w:r>
          </w:p>
        </w:tc>
      </w:tr>
      <w:tr>
        <w:tc>
          <w:tcPr>
            <w:tcW w:type="dxa" w:w="45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Um wie viel °C ist die Temperatur seit 1850 gestiegen?</w:t>
            </w:r>
          </w:p>
        </w:tc>
        <w:tc>
          <w:tcPr>
            <w:tcW w:type="dxa" w:w="25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0,9 °C  (Option B)</w:t>
            </w:r>
          </w:p>
        </w:tc>
        <w:tc>
          <w:tcPr>
            <w:tcW w:type="dxa" w:w="20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T2, S. 145</w:t>
            </w:r>
          </w:p>
        </w:tc>
      </w:tr>
    </w:tbl>
    <w:p>
      <w:pPr>
        <w:spacing w:after="60" w:before="0"/>
      </w:pPr>
      <w:r>
        <w:t xml:space="preserve"/>
      </w:r>
    </w:p>
    <w:p>
      <w:pPr>
        <w:pStyle w:val="Heading3"/>
        <w:spacing w:after="60" w:before="200"/>
      </w:pPr>
      <w:r>
        <w:rPr>
          <w:rFonts w:ascii="Arial" w:cs="Arial" w:eastAsia="Arial" w:hAnsi="Arial"/>
          <w:b/>
          <w:bCs/>
          <w:color w:val="1A3A5C"/>
          <w:sz w:val="22"/>
          <w:szCs w:val="22"/>
        </w:rPr>
        <w:t xml:space="preserve">Datensatz B – Frage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026"/>
      </w:tblGrid>
      <w:tr>
        <w:trPr>
          <w:tblHeader/>
        </w:trPr>
        <w:tc>
          <w:tcPr>
            <w:tcW w:type="dxa" w:w="45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Frage</w:t>
            </w:r>
          </w:p>
        </w:tc>
        <w:tc>
          <w:tcPr>
            <w:tcW w:type="dxa" w:w="25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Richtige Antwort</w:t>
            </w:r>
          </w:p>
        </w:tc>
        <w:tc>
          <w:tcPr>
            <w:tcW w:type="dxa" w:w="2026"/>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Quelle</w:t>
            </w:r>
          </w:p>
        </w:tc>
      </w:tr>
      <w:tr>
        <w:tc>
          <w:tcPr>
            <w:tcW w:type="dxa" w:w="45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Um wie viel cm ist der Meeresspiegel seit 1900 gestiegen?</w:t>
            </w:r>
          </w:p>
        </w:tc>
        <w:tc>
          <w:tcPr>
            <w:tcW w:type="dxa" w:w="25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20 cm  (Option C)</w:t>
            </w:r>
          </w:p>
        </w:tc>
        <w:tc>
          <w:tcPr>
            <w:tcW w:type="dxa" w:w="20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T2 S. 145; M3 S. 148</w:t>
            </w:r>
          </w:p>
        </w:tc>
      </w:tr>
    </w:tbl>
    <w:p>
      <w:pPr>
        <w:spacing w:after="60" w:before="0"/>
      </w:pPr>
      <w:r>
        <w:t xml:space="preserve"/>
      </w:r>
    </w:p>
    <w:p>
      <w:pPr>
        <w:pStyle w:val="Heading3"/>
        <w:spacing w:after="60" w:before="200"/>
      </w:pPr>
      <w:r>
        <w:rPr>
          <w:rFonts w:ascii="Arial" w:cs="Arial" w:eastAsia="Arial" w:hAnsi="Arial"/>
          <w:b/>
          <w:bCs/>
          <w:color w:val="1A3A5C"/>
          <w:sz w:val="22"/>
          <w:szCs w:val="22"/>
        </w:rPr>
        <w:t xml:space="preserve">Datensatz C – Folgen des Klimawandels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1200"/>
        <w:gridCol w:w="2826"/>
      </w:tblGrid>
      <w:tr>
        <w:trPr>
          <w:tblHeader/>
        </w:trPr>
        <w:tc>
          <w:tcPr>
            <w:tcW w:type="dxa" w:w="50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Aussage</w:t>
            </w:r>
          </w:p>
        </w:tc>
        <w:tc>
          <w:tcPr>
            <w:tcW w:type="dxa" w:w="12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Korrekt?</w:t>
            </w:r>
          </w:p>
        </w:tc>
        <w:tc>
          <w:tcPr>
            <w:tcW w:type="dxa" w:w="2826"/>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Quelle</w:t>
            </w:r>
          </w:p>
        </w:tc>
      </w:tr>
      <w:tr>
        <w:tc>
          <w:tcPr>
            <w:tcW w:type="dxa" w:w="5000"/>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Die Arktis erwärmt sich schneller als der globale Durchschnitt.</w:t>
            </w:r>
          </w:p>
        </w:tc>
        <w:tc>
          <w:tcPr>
            <w:tcW w:type="dxa" w:w="1200"/>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 JA</w:t>
            </w:r>
          </w:p>
        </w:tc>
        <w:tc>
          <w:tcPr>
            <w:tcW w:type="dxa" w:w="2826"/>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T1, S. 150</w:t>
            </w:r>
          </w:p>
        </w:tc>
      </w:tr>
      <w:tr>
        <w:tc>
          <w:tcPr>
            <w:tcW w:type="dxa" w:w="50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Der Klimawandel wirkt sich überall gleich stark aus.</w:t>
            </w:r>
          </w:p>
        </w:tc>
        <w:tc>
          <w:tcPr>
            <w:tcW w:type="dxa" w:w="12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NEIN</w:t>
            </w:r>
          </w:p>
        </w:tc>
        <w:tc>
          <w:tcPr>
            <w:tcW w:type="dxa" w:w="2826"/>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 150</w:t>
            </w:r>
          </w:p>
        </w:tc>
      </w:tr>
      <w:tr>
        <w:tc>
          <w:tcPr>
            <w:tcW w:type="dxa" w:w="5000"/>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Apfelblüte heute 20 Tage früher als vor 50 Jahren.</w:t>
            </w:r>
          </w:p>
        </w:tc>
        <w:tc>
          <w:tcPr>
            <w:tcW w:type="dxa" w:w="1200"/>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 JA</w:t>
            </w:r>
          </w:p>
        </w:tc>
        <w:tc>
          <w:tcPr>
            <w:tcW w:type="dxa" w:w="2826"/>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T3, S. 145</w:t>
            </w:r>
          </w:p>
        </w:tc>
      </w:tr>
      <w:tr>
        <w:tc>
          <w:tcPr>
            <w:tcW w:type="dxa" w:w="5000"/>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Bei 1 m Anstieg verlieren auf den Philippinen 15 Mio. Menschen ihre Heimat.</w:t>
            </w:r>
          </w:p>
        </w:tc>
        <w:tc>
          <w:tcPr>
            <w:tcW w:type="dxa" w:w="1200"/>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 JA</w:t>
            </w:r>
          </w:p>
        </w:tc>
        <w:tc>
          <w:tcPr>
            <w:tcW w:type="dxa" w:w="2826"/>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T2, S. 148</w:t>
            </w:r>
          </w:p>
        </w:tc>
      </w:tr>
      <w:tr>
        <w:tc>
          <w:tcPr>
            <w:tcW w:type="dxa" w:w="50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Temperaturen in Deutschland steigen in 80 Jahren um über 10 °C.</w:t>
            </w:r>
          </w:p>
        </w:tc>
        <w:tc>
          <w:tcPr>
            <w:tcW w:type="dxa" w:w="12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 NEIN</w:t>
            </w:r>
          </w:p>
        </w:tc>
        <w:tc>
          <w:tcPr>
            <w:tcW w:type="dxa" w:w="28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T2, S. 151: 2,5–4,5 °C</w:t>
            </w:r>
          </w:p>
        </w:tc>
      </w:tr>
    </w:tbl>
    <w:p>
      <w:pPr>
        <w:spacing w:after="100" w:before="60"/>
        <w:jc w:val="both"/>
      </w:pPr>
      <w:r>
        <w:rPr>
          <w:rFonts w:ascii="Arial" w:cs="Arial" w:eastAsia="Arial" w:hAnsi="Arial"/>
          <w:color w:val="000000"/>
          <w:sz w:val="22"/>
          <w:szCs w:val="22"/>
        </w:rPr>
        <w:t xml:space="preserve">→ Freigeschaltete Ziffer: 7</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1A3A5C" w:sz="4"/>
              <w:left w:val="single" w:color="1A3A5C" w:sz="4"/>
              <w:bottom w:val="single" w:color="1A3A5C" w:sz="4"/>
              <w:right w:val="single" w:color="1A3A5C" w:sz="4"/>
            </w:tcBorders>
            <w:shd w:fill="1A3A5C"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R6</w:t>
            </w:r>
          </w:p>
        </w:tc>
        <w:tc>
          <w:tcPr>
            <w:tcW w:type="dxa" w:w="7826"/>
            <w:tcBorders>
              <w:top w:val="single" w:color="1A3A5C" w:sz="4"/>
              <w:left w:val="single" w:color="1A3A5C" w:sz="4"/>
              <w:bottom w:val="single" w:color="1A3A5C" w:sz="4"/>
              <w:right w:val="single" w:color="1A3A5C" w:sz="4"/>
            </w:tcBorders>
            <w:shd w:fill="D6E9F8" w:val="clear"/>
            <w:tcMar>
              <w:top w:type="dxa" w:w="100"/>
              <w:left w:type="dxa" w:w="160"/>
              <w:bottom w:type="dxa" w:w="100"/>
              <w:right w:type="dxa" w:w="120"/>
            </w:tcMar>
          </w:tcPr>
          <w:p>
            <w:r>
              <w:rPr>
                <w:rFonts w:ascii="Arial" w:cs="Arial" w:eastAsia="Arial" w:hAnsi="Arial"/>
                <w:b/>
                <w:bCs/>
                <w:color w:val="1A3A5C"/>
                <w:sz w:val="26"/>
                <w:szCs w:val="26"/>
              </w:rPr>
              <w:t xml:space="preserve">Hochsicherheitstresor – Klimaschutz</w:t>
            </w:r>
          </w:p>
          <w:p>
            <w:r>
              <w:rPr>
                <w:rFonts w:ascii="Arial" w:cs="Arial" w:eastAsia="Arial" w:hAnsi="Arial"/>
                <w:color w:val="5A6270"/>
                <w:sz w:val="20"/>
                <w:szCs w:val="20"/>
              </w:rPr>
              <w:t xml:space="preserve">Schulbuch: S. 152–153</w:t>
            </w:r>
          </w:p>
        </w:tc>
      </w:tr>
    </w:tbl>
    <w:p>
      <w:pPr>
        <w:spacing w:after="60" w:before="0"/>
      </w:pPr>
      <w:r>
        <w:t xml:space="preserve"/>
      </w:r>
    </w:p>
    <w:p>
      <w:pPr>
        <w:pStyle w:val="Heading3"/>
        <w:spacing w:after="60" w:before="200"/>
      </w:pPr>
      <w:r>
        <w:rPr>
          <w:rFonts w:ascii="Arial" w:cs="Arial" w:eastAsia="Arial" w:hAnsi="Arial"/>
          <w:b/>
          <w:bCs/>
          <w:color w:val="1A3A5C"/>
          <w:sz w:val="22"/>
          <w:szCs w:val="22"/>
        </w:rPr>
        <w:t xml:space="preserve">Schritt 1 – Pariser Abkommen (Einfachauswahl)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800"/>
        <w:gridCol w:w="2426"/>
      </w:tblGrid>
      <w:tr>
        <w:trPr>
          <w:tblHeader/>
        </w:trPr>
        <w:tc>
          <w:tcPr>
            <w:tcW w:type="dxa" w:w="8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58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Inhalt</w:t>
            </w:r>
          </w:p>
        </w:tc>
        <w:tc>
          <w:tcPr>
            <w:tcW w:type="dxa" w:w="2426"/>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Korrekt?</w:t>
            </w:r>
          </w:p>
        </w:tc>
      </w:tr>
      <w:tr>
        <w:tc>
          <w:tcPr>
            <w:tcW w:type="dxa" w:w="8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c>
          <w:tcPr>
            <w:tcW w:type="dxa" w:w="58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Treibhausgase sofort komplett stoppen</w:t>
            </w:r>
          </w:p>
        </w:tc>
        <w:tc>
          <w:tcPr>
            <w:tcW w:type="dxa" w:w="24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800"/>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c>
          <w:tcPr>
            <w:tcW w:type="dxa" w:w="5800"/>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Erdwärmung auf max. 1,5 °C, höchstens 2 °C begrenzen</w:t>
            </w:r>
          </w:p>
        </w:tc>
        <w:tc>
          <w:tcPr>
            <w:tcW w:type="dxa" w:w="2426"/>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  (T2, S. 152)</w:t>
            </w:r>
          </w:p>
        </w:tc>
      </w:tr>
      <w:tr>
        <w:tc>
          <w:tcPr>
            <w:tcW w:type="dxa" w:w="8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c>
          <w:tcPr>
            <w:tcW w:type="dxa" w:w="58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Nur Industrieländer sind beteiligt</w:t>
            </w:r>
          </w:p>
        </w:tc>
        <w:tc>
          <w:tcPr>
            <w:tcW w:type="dxa" w:w="24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8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w:t>
            </w:r>
          </w:p>
        </w:tc>
        <w:tc>
          <w:tcPr>
            <w:tcW w:type="dxa" w:w="58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°C Erwärmung bis 2050 akzeptieren</w:t>
            </w:r>
          </w:p>
        </w:tc>
        <w:tc>
          <w:tcPr>
            <w:tcW w:type="dxa" w:w="2426"/>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pPr>
        <w:spacing w:after="60" w:before="0"/>
      </w:pPr>
      <w:r>
        <w:t xml:space="preserve"/>
      </w:r>
    </w:p>
    <w:p>
      <w:pPr>
        <w:pStyle w:val="Heading3"/>
        <w:spacing w:after="60" w:before="200"/>
      </w:pPr>
      <w:r>
        <w:rPr>
          <w:rFonts w:ascii="Arial" w:cs="Arial" w:eastAsia="Arial" w:hAnsi="Arial"/>
          <w:b/>
          <w:bCs/>
          <w:color w:val="1A3A5C"/>
          <w:sz w:val="22"/>
          <w:szCs w:val="22"/>
        </w:rPr>
        <w:t xml:space="preserve">Schritt 2 – Klimaschutzmaßnahmen (Mehrfachauswahl)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026"/>
      </w:tblGrid>
      <w:tr>
        <w:trPr>
          <w:tblHeader/>
        </w:trPr>
        <w:tc>
          <w:tcPr>
            <w:tcW w:type="dxa" w:w="45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Maßnahme</w:t>
            </w:r>
          </w:p>
        </w:tc>
        <w:tc>
          <w:tcPr>
            <w:tcW w:type="dxa" w:w="1500"/>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Korrekt?</w:t>
            </w:r>
          </w:p>
        </w:tc>
        <w:tc>
          <w:tcPr>
            <w:tcW w:type="dxa" w:w="3026"/>
            <w:tcBorders>
              <w:top w:val="single" w:color="AABBD0" w:sz="4"/>
              <w:left w:val="single" w:color="AABBD0" w:sz="4"/>
              <w:bottom w:val="single" w:color="AABBD0" w:sz="4"/>
              <w:right w:val="single" w:color="AABBD0"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Quelle</w:t>
            </w:r>
          </w:p>
        </w:tc>
      </w:tr>
      <w:tr>
        <w:tc>
          <w:tcPr>
            <w:tcW w:type="dxa" w:w="4500"/>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Mit Bus, Bahn oder Fahrrad fahren</w:t>
            </w:r>
          </w:p>
        </w:tc>
        <w:tc>
          <w:tcPr>
            <w:tcW w:type="dxa" w:w="1500"/>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 JA</w:t>
            </w:r>
          </w:p>
        </w:tc>
        <w:tc>
          <w:tcPr>
            <w:tcW w:type="dxa" w:w="3026"/>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S. 153, ÖPNV</w:t>
            </w:r>
          </w:p>
        </w:tc>
      </w:tr>
      <w:tr>
        <w:tc>
          <w:tcPr>
            <w:tcW w:type="dxa" w:w="45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Mehr Plastikverpackungen verwenden</w:t>
            </w:r>
          </w:p>
        </w:tc>
        <w:tc>
          <w:tcPr>
            <w:tcW w:type="dxa" w:w="15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NEIN</w:t>
            </w:r>
          </w:p>
        </w:tc>
        <w:tc>
          <w:tcPr>
            <w:tcW w:type="dxa" w:w="3026"/>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4500"/>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Weniger Rindfleisch essen</w:t>
            </w:r>
          </w:p>
        </w:tc>
        <w:tc>
          <w:tcPr>
            <w:tcW w:type="dxa" w:w="1500"/>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 JA</w:t>
            </w:r>
          </w:p>
        </w:tc>
        <w:tc>
          <w:tcPr>
            <w:tcW w:type="dxa" w:w="3026"/>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S. 153</w:t>
            </w:r>
          </w:p>
        </w:tc>
      </w:tr>
      <w:tr>
        <w:tc>
          <w:tcPr>
            <w:tcW w:type="dxa" w:w="4500"/>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Geräte ausschalten statt Stand-by</w:t>
            </w:r>
          </w:p>
        </w:tc>
        <w:tc>
          <w:tcPr>
            <w:tcW w:type="dxa" w:w="1500"/>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 JA</w:t>
            </w:r>
          </w:p>
        </w:tc>
        <w:tc>
          <w:tcPr>
            <w:tcW w:type="dxa" w:w="3026"/>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S. 153</w:t>
            </w:r>
          </w:p>
        </w:tc>
      </w:tr>
      <w:tr>
        <w:tc>
          <w:tcPr>
            <w:tcW w:type="dxa" w:w="45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Häufiger fliegen</w:t>
            </w:r>
          </w:p>
        </w:tc>
        <w:tc>
          <w:tcPr>
            <w:tcW w:type="dxa" w:w="1500"/>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 NEIN</w:t>
            </w:r>
          </w:p>
        </w:tc>
        <w:tc>
          <w:tcPr>
            <w:tcW w:type="dxa" w:w="3026"/>
            <w:tcBorders>
              <w:top w:val="single" w:color="AABBD0" w:sz="4"/>
              <w:left w:val="single" w:color="AABBD0" w:sz="4"/>
              <w:bottom w:val="single" w:color="AABBD0" w:sz="4"/>
              <w:right w:val="single" w:color="AABBD0" w:sz="4"/>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4500"/>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Saisonale Lebensmittel aus der Region kaufen</w:t>
            </w:r>
          </w:p>
        </w:tc>
        <w:tc>
          <w:tcPr>
            <w:tcW w:type="dxa" w:w="1500"/>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 JA</w:t>
            </w:r>
          </w:p>
        </w:tc>
        <w:tc>
          <w:tcPr>
            <w:tcW w:type="dxa" w:w="3026"/>
            <w:tcBorders>
              <w:top w:val="single" w:color="AABBD0" w:sz="4"/>
              <w:left w:val="single" w:color="AABBD0" w:sz="4"/>
              <w:bottom w:val="single" w:color="AABBD0" w:sz="4"/>
              <w:right w:val="single" w:color="AABBD0" w:sz="4"/>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S. 153</w:t>
            </w:r>
          </w:p>
        </w:tc>
      </w:tr>
    </w:tbl>
    <w:p>
      <w:pPr>
        <w:spacing w:after="60" w:before="0"/>
      </w:pPr>
      <w:r>
        <w:t xml:space="preserve"/>
      </w:r>
    </w:p>
    <w:p>
      <w:pPr>
        <w:pStyle w:val="Heading3"/>
        <w:spacing w:after="60" w:before="200"/>
      </w:pPr>
      <w:r>
        <w:rPr>
          <w:rFonts w:ascii="Arial" w:cs="Arial" w:eastAsia="Arial" w:hAnsi="Arial"/>
          <w:b/>
          <w:bCs/>
          <w:color w:val="1A3A5C"/>
          <w:sz w:val="22"/>
          <w:szCs w:val="22"/>
        </w:rPr>
        <w:t xml:space="preserve">Finale Tresor-Eingabe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4"/>
              <w:left w:val="single" w:color="1A3A5C" w:sz="4"/>
              <w:bottom w:val="single" w:color="1A3A5C" w:sz="4"/>
              <w:right w:val="single" w:color="1A3A5C" w:sz="4"/>
            </w:tcBorders>
            <w:shd w:fill="D6E9F8" w:val="clear"/>
            <w:tcMar>
              <w:top w:type="dxa" w:w="60"/>
              <w:left w:type="dxa" w:w="120"/>
              <w:bottom w:type="dxa" w:w="60"/>
              <w:right w:type="dxa" w:w="120"/>
            </w:tcMar>
          </w:tcPr>
          <w:p>
            <w:pPr>
              <w:jc w:val="center"/>
            </w:pPr>
            <w:r>
              <w:rPr>
                <w:rFonts w:ascii="Arial" w:cs="Arial" w:eastAsia="Arial" w:hAnsi="Arial"/>
                <w:color w:val="5A6270"/>
                <w:sz w:val="24"/>
                <w:szCs w:val="24"/>
              </w:rPr>
              <w:t xml:space="preserve">Code: </w:t>
            </w:r>
            <w:r>
              <w:rPr>
                <w:rFonts w:ascii="Arial" w:cs="Arial" w:eastAsia="Arial" w:hAnsi="Arial"/>
                <w:b/>
                <w:bCs/>
                <w:color w:val="1A3A5C"/>
                <w:sz w:val="36"/>
                <w:szCs w:val="36"/>
              </w:rPr>
              <w:t xml:space="preserve">  1  5  3  9  7  </w:t>
            </w:r>
            <w:r>
              <w:rPr>
                <w:rFonts w:ascii="Arial" w:cs="Arial" w:eastAsia="Arial" w:hAnsi="Arial"/>
                <w:color w:val="1E6E3C"/>
                <w:sz w:val="24"/>
                <w:szCs w:val="24"/>
              </w:rPr>
              <w:t xml:space="preserve">  →  Tresor öffnet sich  ✓</w:t>
            </w:r>
          </w:p>
        </w:tc>
      </w:tr>
    </w:tbl>
    <w:p>
      <w:pPr>
        <w:spacing w:after="200" w:before="0"/>
      </w:pPr>
      <w:r>
        <w:t xml:space="preserve"/>
      </w:r>
    </w:p>
    <w:p>
      <w:pPr>
        <w:pBdr>
          <w:top w:val="single" w:color="CCCCCC" w:sz="4" w:space="8"/>
        </w:pBdr>
        <w:spacing w:after="0" w:before="120"/>
        <w:jc w:val="center"/>
      </w:pPr>
      <w:r>
        <w:rPr>
          <w:rFonts w:ascii="Arial" w:cs="Arial" w:eastAsia="Arial" w:hAnsi="Arial"/>
          <w:color w:val="5A6270"/>
          <w:sz w:val="18"/>
          <w:szCs w:val="18"/>
        </w:rPr>
        <w:t xml:space="preserve">Escape Room „Operation Klimaarchiv“  ·  Lehrerhandreichung  ·  Erdkunde Klasse 8  ·  herrwartenberg.github.io/klimawandel8  ·  KI-generiert mit Claude Sonnet 4.6 (Anthropic)  ·  20.05.2026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6FA3"/>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2026-05-22T07:04:17.753Z</dcterms:created>
  <dcterms:modified xsi:type="dcterms:W3CDTF">2026-05-22T07:04:17.765Z</dcterms:modified>
</cp:coreProperties>
</file>

<file path=docProps/custom.xml><?xml version="1.0" encoding="utf-8"?>
<Properties xmlns="http://schemas.openxmlformats.org/officeDocument/2006/custom-properties" xmlns:vt="http://schemas.openxmlformats.org/officeDocument/2006/docPropsVTypes"/>
</file>