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4BC0" w:rsidRDefault="00E10B88">
      <w:pPr>
        <w:pStyle w:val="Heading1"/>
      </w:pPr>
      <w:r>
        <w:t>W02 Study: Materials</w:t>
      </w:r>
    </w:p>
    <w:p w:rsidR="00E10B88" w:rsidRDefault="00E10B88" w:rsidP="00E10B88">
      <w:pPr>
        <w:pStyle w:val="Heading2"/>
        <w:shd w:val="clear" w:color="auto" w:fill="FFFFFF"/>
        <w:spacing w:before="90" w:after="90"/>
        <w:rPr>
          <w:rFonts w:ascii="Helvetica Neue" w:hAnsi="Helvetica Neue"/>
          <w:b w:val="0"/>
          <w:sz w:val="43"/>
          <w:szCs w:val="43"/>
        </w:rPr>
      </w:pPr>
      <w:r>
        <w:rPr>
          <w:rFonts w:ascii="Helvetica Neue" w:hAnsi="Helvetica Neue"/>
          <w:b w:val="0"/>
          <w:bCs/>
          <w:sz w:val="43"/>
          <w:szCs w:val="43"/>
        </w:rPr>
        <w:t>Overview</w:t>
      </w: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Pr>
          <w:rFonts w:ascii="Helvetica Neue" w:hAnsi="Helvetica Neue"/>
          <w:color w:val="2D3B45"/>
        </w:rPr>
        <w:t>Your assigned reading will be as follows:</w:t>
      </w:r>
    </w:p>
    <w:p w:rsidR="00E10B88" w:rsidRDefault="00E10B88" w:rsidP="00E10B88">
      <w:pPr>
        <w:numPr>
          <w:ilvl w:val="0"/>
          <w:numId w:val="5"/>
        </w:numPr>
        <w:shd w:val="clear" w:color="auto" w:fill="FFFFFF"/>
        <w:spacing w:before="100" w:beforeAutospacing="1" w:after="100" w:afterAutospacing="1" w:line="240" w:lineRule="auto"/>
        <w:ind w:left="375"/>
        <w:rPr>
          <w:rFonts w:ascii="Helvetica Neue" w:hAnsi="Helvetica Neue"/>
          <w:color w:val="2D3B45"/>
        </w:rPr>
      </w:pPr>
      <w:r>
        <w:rPr>
          <w:rFonts w:ascii="Helvetica Neue" w:hAnsi="Helvetica Neue"/>
          <w:color w:val="2D3B45"/>
        </w:rPr>
        <w:t>Cha</w:t>
      </w:r>
      <w:bookmarkStart w:id="0" w:name="_GoBack"/>
      <w:bookmarkEnd w:id="0"/>
      <w:r>
        <w:rPr>
          <w:rFonts w:ascii="Helvetica Neue" w:hAnsi="Helvetica Neue"/>
          <w:color w:val="2D3B45"/>
        </w:rPr>
        <w:t>pter 3 (pgs. 44–110)</w:t>
      </w:r>
    </w:p>
    <w:p w:rsidR="00E10B88" w:rsidRDefault="00E10B88" w:rsidP="00E10B88">
      <w:pPr>
        <w:pStyle w:val="Heading3"/>
        <w:shd w:val="clear" w:color="auto" w:fill="FFFFFF"/>
        <w:spacing w:before="240" w:after="240"/>
        <w:rPr>
          <w:rFonts w:ascii="Helvetica Neue" w:hAnsi="Helvetica Neue"/>
          <w:color w:val="auto"/>
          <w:sz w:val="36"/>
          <w:szCs w:val="36"/>
        </w:rPr>
      </w:pPr>
      <w:r>
        <w:rPr>
          <w:rFonts w:ascii="Helvetica Neue" w:hAnsi="Helvetica Neue"/>
          <w:b/>
          <w:bCs/>
          <w:sz w:val="36"/>
          <w:szCs w:val="36"/>
        </w:rPr>
        <w:t>Reading Notes</w:t>
      </w: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Pr>
          <w:rStyle w:val="Strong"/>
          <w:rFonts w:ascii="Helvetica Neue" w:hAnsi="Helvetica Neue"/>
          <w:color w:val="2D3B45"/>
        </w:rPr>
        <w:t>Make sure you go over the following topics.</w:t>
      </w:r>
      <w:r>
        <w:rPr>
          <w:rFonts w:ascii="Helvetica Neue" w:hAnsi="Helvetica Neue"/>
          <w:color w:val="2D3B45"/>
        </w:rPr>
        <w:t> </w:t>
      </w: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Pr>
          <w:rStyle w:val="Strong"/>
          <w:rFonts w:ascii="Helvetica Neue" w:hAnsi="Helvetica Neue"/>
          <w:color w:val="2D3B45"/>
        </w:rPr>
        <w:t>Block Structure</w:t>
      </w:r>
      <w:r>
        <w:rPr>
          <w:rFonts w:ascii="Helvetica Neue" w:hAnsi="Helvetica Neue"/>
          <w:color w:val="2D3B45"/>
        </w:rPr>
        <w:t> (pg. 44)</w:t>
      </w: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Pr>
          <w:rFonts w:ascii="Helvetica Neue" w:hAnsi="Helvetica Neue"/>
          <w:color w:val="2D3B45"/>
        </w:rPr>
        <w:t>PL/SQL program units organize the code into blocks. A block without a name is known as an </w:t>
      </w:r>
      <w:r>
        <w:rPr>
          <w:rStyle w:val="Strong"/>
          <w:rFonts w:ascii="Helvetica Neue" w:hAnsi="Helvetica Neue"/>
          <w:color w:val="2D3B45"/>
        </w:rPr>
        <w:t>anonymous block</w:t>
      </w:r>
      <w:r>
        <w:rPr>
          <w:rFonts w:ascii="Helvetica Neue" w:hAnsi="Helvetica Neue"/>
          <w:color w:val="2D3B45"/>
        </w:rPr>
        <w:t>. The anonymous block is the simplest unit in PL/SQL. On the other hand, </w:t>
      </w:r>
      <w:r>
        <w:rPr>
          <w:rStyle w:val="Strong"/>
          <w:rFonts w:ascii="Helvetica Neue" w:hAnsi="Helvetica Neue"/>
          <w:color w:val="2D3B45"/>
        </w:rPr>
        <w:t>named blocks</w:t>
      </w:r>
      <w:r>
        <w:rPr>
          <w:rFonts w:ascii="Helvetica Neue" w:hAnsi="Helvetica Neue"/>
          <w:color w:val="2D3B45"/>
        </w:rPr>
        <w:t> are called </w:t>
      </w:r>
      <w:r>
        <w:rPr>
          <w:rStyle w:val="Strong"/>
          <w:rFonts w:ascii="Helvetica Neue" w:hAnsi="Helvetica Neue"/>
          <w:color w:val="2D3B45"/>
        </w:rPr>
        <w:t>functions</w:t>
      </w:r>
      <w:r>
        <w:rPr>
          <w:rFonts w:ascii="Helvetica Neue" w:hAnsi="Helvetica Neue"/>
          <w:color w:val="2D3B45"/>
        </w:rPr>
        <w:t> and </w:t>
      </w:r>
      <w:r>
        <w:rPr>
          <w:rStyle w:val="Strong"/>
          <w:rFonts w:ascii="Helvetica Neue" w:hAnsi="Helvetica Neue"/>
          <w:color w:val="2D3B45"/>
        </w:rPr>
        <w:t>procedures</w:t>
      </w:r>
      <w:r>
        <w:rPr>
          <w:rFonts w:ascii="Helvetica Neue" w:hAnsi="Helvetica Neue"/>
          <w:color w:val="2D3B45"/>
        </w:rPr>
        <w:t>.</w:t>
      </w: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sidRPr="00E10B88">
        <w:rPr>
          <w:rFonts w:ascii="Helvetica Neue" w:hAnsi="Helvetica Neue"/>
          <w:color w:val="2D3B45"/>
        </w:rPr>
        <w:drawing>
          <wp:inline distT="0" distB="0" distL="0" distR="0" wp14:anchorId="02CD0FB2" wp14:editId="1ADBC4ED">
            <wp:extent cx="3004654" cy="3013544"/>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2568" cy="3041541"/>
                    </a:xfrm>
                    <a:prstGeom prst="rect">
                      <a:avLst/>
                    </a:prstGeom>
                  </pic:spPr>
                </pic:pic>
              </a:graphicData>
            </a:graphic>
          </wp:inline>
        </w:drawing>
      </w:r>
      <w:r>
        <w:rPr>
          <w:rFonts w:ascii="Helvetica Neue" w:hAnsi="Helvetica Neue"/>
          <w:color w:val="2D3B45"/>
        </w:rPr>
        <w:fldChar w:fldCharType="begin"/>
      </w:r>
      <w:r>
        <w:rPr>
          <w:rFonts w:ascii="Helvetica Neue" w:hAnsi="Helvetica Neue"/>
          <w:color w:val="2D3B45"/>
        </w:rPr>
        <w:instrText xml:space="preserve"> INCLUDEPICTURE "https://byui.instructure.com/courses/19826/files/2422674/preview" \* MERGEFORMATINET </w:instrText>
      </w:r>
      <w:r>
        <w:rPr>
          <w:rFonts w:ascii="Helvetica Neue" w:hAnsi="Helvetica Neue"/>
          <w:color w:val="2D3B45"/>
        </w:rPr>
        <w:fldChar w:fldCharType="separate"/>
      </w:r>
      <w:r>
        <w:rPr>
          <w:rFonts w:ascii="Helvetica Neue" w:hAnsi="Helvetica Neue"/>
          <w:color w:val="2D3B45"/>
        </w:rPr>
        <w:fldChar w:fldCharType="end"/>
      </w: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Pr>
          <w:rStyle w:val="Strong"/>
          <w:rFonts w:ascii="Helvetica Neue" w:hAnsi="Helvetica Neue"/>
          <w:color w:val="2D3B45"/>
        </w:rPr>
        <w:t>Declaration Block</w:t>
      </w:r>
      <w:r>
        <w:rPr>
          <w:rFonts w:ascii="Helvetica Neue" w:hAnsi="Helvetica Neue"/>
          <w:color w:val="2D3B45"/>
        </w:rPr>
        <w:t> (pg. 48)</w:t>
      </w: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Pr>
          <w:rFonts w:ascii="Helvetica Neue" w:hAnsi="Helvetica Neue"/>
          <w:color w:val="2D3B45"/>
        </w:rPr>
        <w:t>It is optional and starts with the </w:t>
      </w:r>
      <w:r>
        <w:rPr>
          <w:rStyle w:val="Strong"/>
          <w:rFonts w:ascii="Helvetica Neue" w:hAnsi="Helvetica Neue"/>
          <w:color w:val="2D3B45"/>
        </w:rPr>
        <w:t>DECLARE</w:t>
      </w:r>
      <w:r>
        <w:rPr>
          <w:rFonts w:ascii="Helvetica Neue" w:hAnsi="Helvetica Neue"/>
          <w:color w:val="2D3B45"/>
        </w:rPr>
        <w:t> keyword and ends with the </w:t>
      </w:r>
      <w:r>
        <w:rPr>
          <w:rStyle w:val="Strong"/>
          <w:rFonts w:ascii="Helvetica Neue" w:hAnsi="Helvetica Neue"/>
          <w:color w:val="2D3B45"/>
        </w:rPr>
        <w:t>BEGIN</w:t>
      </w:r>
      <w:r>
        <w:rPr>
          <w:rFonts w:ascii="Helvetica Neue" w:hAnsi="Helvetica Neue"/>
          <w:color w:val="2D3B45"/>
        </w:rPr>
        <w:t> keyword for anonymous blocks. The declaration section allows you to define data types, structures, and variables. You often declare variables in the declaration section by giving them names, data types, and initial values.</w:t>
      </w: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Pr>
          <w:rStyle w:val="Strong"/>
          <w:rFonts w:ascii="Helvetica Neue" w:hAnsi="Helvetica Neue"/>
          <w:color w:val="2D3B45"/>
        </w:rPr>
        <w:lastRenderedPageBreak/>
        <w:t>Execution Block</w:t>
      </w:r>
      <w:r>
        <w:rPr>
          <w:rFonts w:ascii="Helvetica Neue" w:hAnsi="Helvetica Neue"/>
          <w:color w:val="2D3B45"/>
        </w:rPr>
        <w:t> (pg. 44)</w:t>
      </w: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Pr>
          <w:rFonts w:ascii="Helvetica Neue" w:hAnsi="Helvetica Neue"/>
          <w:color w:val="2D3B45"/>
        </w:rPr>
        <w:t>This is a mandatory section enclosed between the keywords </w:t>
      </w:r>
      <w:r>
        <w:rPr>
          <w:rStyle w:val="Strong"/>
          <w:rFonts w:ascii="Helvetica Neue" w:hAnsi="Helvetica Neue"/>
          <w:color w:val="2D3B45"/>
        </w:rPr>
        <w:t>BEGIN</w:t>
      </w:r>
      <w:r>
        <w:rPr>
          <w:rFonts w:ascii="Helvetica Neue" w:hAnsi="Helvetica Neue"/>
          <w:color w:val="2D3B45"/>
        </w:rPr>
        <w:t> and </w:t>
      </w:r>
      <w:r>
        <w:rPr>
          <w:rStyle w:val="Strong"/>
          <w:rFonts w:ascii="Helvetica Neue" w:hAnsi="Helvetica Neue"/>
          <w:color w:val="2D3B45"/>
        </w:rPr>
        <w:t>END</w:t>
      </w:r>
      <w:r>
        <w:rPr>
          <w:rFonts w:ascii="Helvetica Neue" w:hAnsi="Helvetica Neue"/>
          <w:color w:val="2D3B45"/>
        </w:rPr>
        <w:t>. When using the </w:t>
      </w:r>
      <w:r>
        <w:rPr>
          <w:rStyle w:val="Strong"/>
          <w:rFonts w:ascii="Helvetica Neue" w:hAnsi="Helvetica Neue"/>
          <w:color w:val="2D3B45"/>
        </w:rPr>
        <w:t>EXCEPTION</w:t>
      </w:r>
      <w:r>
        <w:rPr>
          <w:rFonts w:ascii="Helvetica Neue" w:hAnsi="Helvetica Neue"/>
          <w:color w:val="2D3B45"/>
        </w:rPr>
        <w:t> block, it will end with the exception keyword. The execution section is the place where you put the execution code or business logic code. You can use both procedural and SQL statements inside the execution section.</w:t>
      </w: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Pr>
          <w:rStyle w:val="Strong"/>
          <w:rFonts w:ascii="Helvetica Neue" w:hAnsi="Helvetica Neue"/>
          <w:color w:val="2D3B45"/>
        </w:rPr>
        <w:t>Exception Block</w:t>
      </w:r>
      <w:r>
        <w:rPr>
          <w:rFonts w:ascii="Helvetica Neue" w:hAnsi="Helvetica Neue"/>
          <w:color w:val="2D3B45"/>
        </w:rPr>
        <w:t> (pg. 49)</w:t>
      </w: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Pr>
          <w:rFonts w:ascii="Helvetica Neue" w:hAnsi="Helvetica Neue"/>
          <w:color w:val="2D3B45"/>
        </w:rPr>
        <w:t>It is optional and starts with the </w:t>
      </w:r>
      <w:r>
        <w:rPr>
          <w:rStyle w:val="Strong"/>
          <w:rFonts w:ascii="Helvetica Neue" w:hAnsi="Helvetica Neue"/>
          <w:color w:val="2D3B45"/>
        </w:rPr>
        <w:t>EXCEPTION</w:t>
      </w:r>
      <w:r>
        <w:rPr>
          <w:rFonts w:ascii="Helvetica Neue" w:hAnsi="Helvetica Neue"/>
          <w:color w:val="2D3B45"/>
        </w:rPr>
        <w:t> keyword and ends with the </w:t>
      </w:r>
      <w:r>
        <w:rPr>
          <w:rStyle w:val="Strong"/>
          <w:rFonts w:ascii="Helvetica Neue" w:hAnsi="Helvetica Neue"/>
          <w:color w:val="2D3B45"/>
        </w:rPr>
        <w:t>END</w:t>
      </w:r>
      <w:r>
        <w:rPr>
          <w:rFonts w:ascii="Helvetica Neue" w:hAnsi="Helvetica Neue"/>
          <w:color w:val="2D3B45"/>
        </w:rPr>
        <w:t> </w:t>
      </w:r>
      <w:proofErr w:type="gramStart"/>
      <w:r>
        <w:rPr>
          <w:rFonts w:ascii="Helvetica Neue" w:hAnsi="Helvetica Neue"/>
          <w:color w:val="2D3B45"/>
        </w:rPr>
        <w:t>keyword</w:t>
      </w:r>
      <w:proofErr w:type="gramEnd"/>
      <w:r>
        <w:rPr>
          <w:rFonts w:ascii="Helvetica Neue" w:hAnsi="Helvetica Neue"/>
          <w:color w:val="2D3B45"/>
        </w:rPr>
        <w:t>. The exception section is the place where you put the code to handle exceptions. You can either catch or handle exceptions in the exception section.</w:t>
      </w: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Pr>
          <w:rStyle w:val="Strong"/>
          <w:rFonts w:ascii="Helvetica Neue" w:hAnsi="Helvetica Neue"/>
          <w:color w:val="2D3B45"/>
        </w:rPr>
        <w:t>Behavior of Variables in Blocks</w:t>
      </w:r>
      <w:r>
        <w:rPr>
          <w:rFonts w:ascii="Helvetica Neue" w:hAnsi="Helvetica Neue"/>
          <w:color w:val="2D3B45"/>
        </w:rPr>
        <w:t> (pg. 50)</w:t>
      </w: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Pr>
          <w:rFonts w:ascii="Helvetica Neue" w:hAnsi="Helvetica Neue"/>
          <w:color w:val="2D3B45"/>
        </w:rPr>
        <w:t>Please review this section. It will be covered in more details in Chapter 4.</w:t>
      </w: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Pr>
          <w:rStyle w:val="Strong"/>
          <w:rFonts w:ascii="Helvetica Neue" w:hAnsi="Helvetica Neue"/>
          <w:color w:val="2D3B45"/>
        </w:rPr>
        <w:t>Nested Anonymous Blocks</w:t>
      </w:r>
      <w:r>
        <w:rPr>
          <w:rFonts w:ascii="Helvetica Neue" w:hAnsi="Helvetica Neue"/>
          <w:color w:val="2D3B45"/>
        </w:rPr>
        <w:t> (pg. 55)</w:t>
      </w: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Pr>
          <w:rFonts w:ascii="Helvetica Neue" w:hAnsi="Helvetica Neue"/>
          <w:color w:val="2D3B45"/>
        </w:rPr>
        <w:t>Make sure you understand the examples. The following is an example of nested blocks. Do not worry if you don’t understand the program, just look at the declare, begin, exception, and end keywords.  </w:t>
      </w: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Pr>
          <w:rFonts w:ascii="Helvetica Neue" w:hAnsi="Helvetica Neue"/>
          <w:color w:val="2D3B45"/>
        </w:rPr>
        <w:t> </w:t>
      </w:r>
      <w:r w:rsidRPr="00E10B88">
        <w:rPr>
          <w:rFonts w:ascii="Helvetica Neue" w:hAnsi="Helvetica Neue"/>
          <w:color w:val="2D3B45"/>
        </w:rPr>
        <w:drawing>
          <wp:inline distT="0" distB="0" distL="0" distR="0" wp14:anchorId="073B2606" wp14:editId="5DA22657">
            <wp:extent cx="3575867" cy="357013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7538" cy="3621724"/>
                    </a:xfrm>
                    <a:prstGeom prst="rect">
                      <a:avLst/>
                    </a:prstGeom>
                  </pic:spPr>
                </pic:pic>
              </a:graphicData>
            </a:graphic>
          </wp:inline>
        </w:drawing>
      </w: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Pr>
          <w:rStyle w:val="Strong"/>
          <w:rFonts w:ascii="Helvetica Neue" w:hAnsi="Helvetica Neue"/>
          <w:color w:val="2D3B45"/>
        </w:rPr>
        <w:t>Basic Scalar and Composite Data Types</w:t>
      </w:r>
      <w:r>
        <w:rPr>
          <w:rFonts w:ascii="Helvetica Neue" w:hAnsi="Helvetica Neue"/>
          <w:color w:val="2D3B45"/>
        </w:rPr>
        <w:t> (p. 63)</w:t>
      </w: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Pr>
          <w:rFonts w:ascii="Helvetica Neue" w:hAnsi="Helvetica Neue"/>
          <w:color w:val="2D3B45"/>
        </w:rPr>
        <w:t>Covered in more detail in Chapter 4.</w:t>
      </w:r>
    </w:p>
    <w:p w:rsidR="00B1110F" w:rsidRDefault="00B1110F" w:rsidP="00E10B88">
      <w:pPr>
        <w:pStyle w:val="NormalWeb"/>
        <w:shd w:val="clear" w:color="auto" w:fill="FFFFFF"/>
        <w:spacing w:before="180" w:beforeAutospacing="0" w:after="180" w:afterAutospacing="0"/>
        <w:rPr>
          <w:rFonts w:ascii="Helvetica Neue" w:hAnsi="Helvetica Neue"/>
          <w:color w:val="2D3B45"/>
        </w:rPr>
      </w:pP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Pr>
          <w:rStyle w:val="Strong"/>
          <w:rFonts w:ascii="Helvetica Neue" w:hAnsi="Helvetica Neue"/>
          <w:color w:val="2D3B45"/>
        </w:rPr>
        <w:lastRenderedPageBreak/>
        <w:t>Scalar</w:t>
      </w:r>
      <w:r>
        <w:rPr>
          <w:rFonts w:ascii="Helvetica Neue" w:hAnsi="Helvetica Neue"/>
          <w:color w:val="2D3B45"/>
        </w:rPr>
        <w:t> (pg. 63)</w:t>
      </w: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Pr>
          <w:rFonts w:ascii="Helvetica Neue" w:hAnsi="Helvetica Neue"/>
          <w:color w:val="2D3B45"/>
        </w:rPr>
        <w:t>They hold only one thing at the time and are frequently labeled as primitives; these include numbers, strings, and timestamps.</w:t>
      </w: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Pr>
          <w:rStyle w:val="Strong"/>
          <w:rFonts w:ascii="Helvetica Neue" w:hAnsi="Helvetica Neue"/>
          <w:color w:val="2D3B45"/>
        </w:rPr>
        <w:t>Composite</w:t>
      </w:r>
      <w:r>
        <w:rPr>
          <w:rFonts w:ascii="Helvetica Neue" w:hAnsi="Helvetica Neue"/>
          <w:color w:val="2D3B45"/>
        </w:rPr>
        <w:t> (pg. 68)</w:t>
      </w: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Pr>
          <w:rFonts w:ascii="Helvetica Neue" w:hAnsi="Helvetica Neue"/>
          <w:color w:val="2D3B45"/>
        </w:rPr>
        <w:t>They hold collections of data.</w:t>
      </w: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Pr>
          <w:rStyle w:val="Strong"/>
          <w:rFonts w:ascii="Helvetica Neue" w:hAnsi="Helvetica Neue"/>
          <w:color w:val="2D3B45"/>
        </w:rPr>
        <w:t>SQL Collections</w:t>
      </w:r>
      <w:r>
        <w:rPr>
          <w:rFonts w:ascii="Helvetica Neue" w:hAnsi="Helvetica Neue"/>
          <w:color w:val="2D3B45"/>
        </w:rPr>
        <w:t> (pg. 72)</w:t>
      </w: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Pr>
          <w:rFonts w:ascii="Helvetica Neue" w:hAnsi="Helvetica Neue"/>
          <w:color w:val="2D3B45"/>
        </w:rPr>
        <w:t>Collections are programming structures that hold sets of variables; they fall into two categories: arrays and lists. Oracle8i Database forward provides three types of collections. Covered in more detail in Chapter 6.</w:t>
      </w:r>
    </w:p>
    <w:p w:rsidR="00E10B88" w:rsidRDefault="00E10B88" w:rsidP="00E10B88">
      <w:pPr>
        <w:pStyle w:val="NormalWeb"/>
        <w:numPr>
          <w:ilvl w:val="0"/>
          <w:numId w:val="6"/>
        </w:numPr>
        <w:shd w:val="clear" w:color="auto" w:fill="FFFFFF"/>
        <w:spacing w:before="180" w:beforeAutospacing="0" w:after="180" w:afterAutospacing="0"/>
        <w:ind w:left="375"/>
        <w:rPr>
          <w:rFonts w:ascii="Helvetica Neue" w:hAnsi="Helvetica Neue"/>
          <w:color w:val="2D3B45"/>
        </w:rPr>
      </w:pPr>
      <w:r>
        <w:rPr>
          <w:rStyle w:val="Strong"/>
          <w:rFonts w:ascii="Helvetica Neue" w:hAnsi="Helvetica Neue"/>
          <w:color w:val="2D3B45"/>
        </w:rPr>
        <w:t>Associative arrays</w:t>
      </w:r>
      <w:r>
        <w:rPr>
          <w:rFonts w:ascii="Helvetica Neue" w:hAnsi="Helvetica Neue"/>
          <w:color w:val="2D3B45"/>
        </w:rPr>
        <w:t> are collection types that associates a unique key with a value of the index.</w:t>
      </w:r>
    </w:p>
    <w:p w:rsidR="00E10B88" w:rsidRDefault="00E10B88" w:rsidP="00E10B88">
      <w:pPr>
        <w:pStyle w:val="NormalWeb"/>
        <w:numPr>
          <w:ilvl w:val="0"/>
          <w:numId w:val="6"/>
        </w:numPr>
        <w:shd w:val="clear" w:color="auto" w:fill="FFFFFF"/>
        <w:spacing w:before="180" w:beforeAutospacing="0" w:after="180" w:afterAutospacing="0"/>
        <w:ind w:left="375"/>
        <w:rPr>
          <w:rFonts w:ascii="Helvetica Neue" w:hAnsi="Helvetica Neue"/>
          <w:color w:val="2D3B45"/>
        </w:rPr>
      </w:pPr>
      <w:r>
        <w:rPr>
          <w:rStyle w:val="Strong"/>
          <w:rFonts w:ascii="Helvetica Neue" w:hAnsi="Helvetica Neue"/>
          <w:color w:val="2D3B45"/>
        </w:rPr>
        <w:t>Nested</w:t>
      </w:r>
      <w:r>
        <w:rPr>
          <w:rFonts w:ascii="Helvetica Neue" w:hAnsi="Helvetica Neue"/>
          <w:color w:val="2D3B45"/>
        </w:rPr>
        <w:t> </w:t>
      </w:r>
      <w:r>
        <w:rPr>
          <w:rStyle w:val="Strong"/>
          <w:rFonts w:ascii="Helvetica Neue" w:hAnsi="Helvetica Neue"/>
          <w:color w:val="2D3B45"/>
        </w:rPr>
        <w:t>table</w:t>
      </w:r>
      <w:r>
        <w:rPr>
          <w:rFonts w:ascii="Helvetica Neue" w:hAnsi="Helvetica Neue"/>
          <w:color w:val="2D3B45"/>
        </w:rPr>
        <w:t> is one table placed inside of another.</w:t>
      </w:r>
    </w:p>
    <w:p w:rsidR="00E10B88" w:rsidRDefault="00E10B88" w:rsidP="00E10B88">
      <w:pPr>
        <w:pStyle w:val="NormalWeb"/>
        <w:numPr>
          <w:ilvl w:val="0"/>
          <w:numId w:val="6"/>
        </w:numPr>
        <w:shd w:val="clear" w:color="auto" w:fill="FFFFFF"/>
        <w:spacing w:before="180" w:beforeAutospacing="0" w:after="180" w:afterAutospacing="0"/>
        <w:ind w:left="375"/>
        <w:rPr>
          <w:rFonts w:ascii="Helvetica Neue" w:hAnsi="Helvetica Neue"/>
          <w:color w:val="2D3B45"/>
        </w:rPr>
      </w:pPr>
      <w:proofErr w:type="spellStart"/>
      <w:r>
        <w:rPr>
          <w:rStyle w:val="Strong"/>
          <w:rFonts w:ascii="Helvetica Neue" w:hAnsi="Helvetica Neue"/>
          <w:color w:val="2D3B45"/>
        </w:rPr>
        <w:t>Varray</w:t>
      </w:r>
      <w:proofErr w:type="spellEnd"/>
      <w:r>
        <w:rPr>
          <w:rFonts w:ascii="Helvetica Neue" w:hAnsi="Helvetica Neue"/>
          <w:color w:val="2D3B45"/>
        </w:rPr>
        <w:t> are fixed-size sequential collection of elements of the same type. </w:t>
      </w: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Pr>
          <w:rStyle w:val="Strong"/>
          <w:rFonts w:ascii="Helvetica Neue" w:hAnsi="Helvetica Neue"/>
          <w:color w:val="2D3B45"/>
        </w:rPr>
        <w:t>Conditional Structures</w:t>
      </w:r>
      <w:r>
        <w:rPr>
          <w:rFonts w:ascii="Helvetica Neue" w:hAnsi="Helvetica Neue"/>
          <w:color w:val="2D3B45"/>
        </w:rPr>
        <w:t> (pg. 81)</w:t>
      </w: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Pr>
          <w:rFonts w:ascii="Helvetica Neue" w:hAnsi="Helvetica Neue"/>
          <w:color w:val="2D3B45"/>
        </w:rPr>
        <w:t>Review these topics.</w:t>
      </w:r>
    </w:p>
    <w:p w:rsidR="00E10B88" w:rsidRDefault="00E10B88" w:rsidP="00E10B88">
      <w:pPr>
        <w:pStyle w:val="NormalWeb"/>
        <w:numPr>
          <w:ilvl w:val="0"/>
          <w:numId w:val="7"/>
        </w:numPr>
        <w:shd w:val="clear" w:color="auto" w:fill="FFFFFF"/>
        <w:spacing w:before="180" w:beforeAutospacing="0" w:after="180" w:afterAutospacing="0"/>
        <w:ind w:left="375"/>
        <w:rPr>
          <w:rFonts w:ascii="Helvetica Neue" w:hAnsi="Helvetica Neue"/>
          <w:color w:val="2D3B45"/>
        </w:rPr>
      </w:pPr>
      <w:r>
        <w:rPr>
          <w:rFonts w:ascii="Helvetica Neue" w:hAnsi="Helvetica Neue"/>
          <w:color w:val="2D3B45"/>
        </w:rPr>
        <w:t>IF-THEN-ELSIF, and ELSE Statements (pg. 81)</w:t>
      </w:r>
    </w:p>
    <w:p w:rsidR="00E10B88" w:rsidRDefault="00E10B88" w:rsidP="00E10B88">
      <w:pPr>
        <w:pStyle w:val="NormalWeb"/>
        <w:numPr>
          <w:ilvl w:val="0"/>
          <w:numId w:val="7"/>
        </w:numPr>
        <w:shd w:val="clear" w:color="auto" w:fill="FFFFFF"/>
        <w:spacing w:before="180" w:beforeAutospacing="0" w:after="180" w:afterAutospacing="0"/>
        <w:ind w:left="375"/>
        <w:rPr>
          <w:rFonts w:ascii="Helvetica Neue" w:hAnsi="Helvetica Neue"/>
          <w:color w:val="2D3B45"/>
        </w:rPr>
      </w:pPr>
      <w:r>
        <w:rPr>
          <w:rFonts w:ascii="Helvetica Neue" w:hAnsi="Helvetica Neue"/>
          <w:color w:val="2D3B45"/>
        </w:rPr>
        <w:t>Three-Valued Logic (pg. 81)</w:t>
      </w:r>
    </w:p>
    <w:p w:rsidR="00E10B88" w:rsidRDefault="00E10B88" w:rsidP="00E10B88">
      <w:pPr>
        <w:pStyle w:val="NormalWeb"/>
        <w:numPr>
          <w:ilvl w:val="0"/>
          <w:numId w:val="7"/>
        </w:numPr>
        <w:shd w:val="clear" w:color="auto" w:fill="FFFFFF"/>
        <w:spacing w:before="180" w:beforeAutospacing="0" w:after="180" w:afterAutospacing="0"/>
        <w:ind w:left="375"/>
        <w:rPr>
          <w:rFonts w:ascii="Helvetica Neue" w:hAnsi="Helvetica Neue"/>
          <w:color w:val="2D3B45"/>
        </w:rPr>
      </w:pPr>
      <w:r>
        <w:rPr>
          <w:rFonts w:ascii="Helvetica Neue" w:hAnsi="Helvetica Neue"/>
          <w:color w:val="2D3B45"/>
        </w:rPr>
        <w:t>CASE Statement (pg. 82)</w:t>
      </w:r>
    </w:p>
    <w:p w:rsidR="00E10B88" w:rsidRDefault="00E10B88" w:rsidP="00E10B88">
      <w:pPr>
        <w:pStyle w:val="NormalWeb"/>
        <w:numPr>
          <w:ilvl w:val="0"/>
          <w:numId w:val="7"/>
        </w:numPr>
        <w:shd w:val="clear" w:color="auto" w:fill="FFFFFF"/>
        <w:spacing w:before="180" w:beforeAutospacing="0" w:after="180" w:afterAutospacing="0"/>
        <w:ind w:left="375"/>
        <w:rPr>
          <w:rFonts w:ascii="Helvetica Neue" w:hAnsi="Helvetica Neue"/>
          <w:color w:val="2D3B45"/>
        </w:rPr>
      </w:pPr>
      <w:r>
        <w:rPr>
          <w:rFonts w:ascii="Helvetica Neue" w:hAnsi="Helvetica Neue"/>
          <w:color w:val="2D3B45"/>
        </w:rPr>
        <w:t>Iterative Structures (pg. 83)</w:t>
      </w:r>
    </w:p>
    <w:p w:rsidR="00E10B88" w:rsidRDefault="00E10B88" w:rsidP="00E10B88">
      <w:pPr>
        <w:pStyle w:val="NormalWeb"/>
        <w:numPr>
          <w:ilvl w:val="0"/>
          <w:numId w:val="7"/>
        </w:numPr>
        <w:shd w:val="clear" w:color="auto" w:fill="FFFFFF"/>
        <w:spacing w:before="180" w:beforeAutospacing="0" w:after="180" w:afterAutospacing="0"/>
        <w:ind w:left="375"/>
        <w:rPr>
          <w:rFonts w:ascii="Helvetica Neue" w:hAnsi="Helvetica Neue"/>
          <w:color w:val="2D3B45"/>
        </w:rPr>
      </w:pPr>
      <w:r>
        <w:rPr>
          <w:rFonts w:ascii="Helvetica Neue" w:hAnsi="Helvetica Neue"/>
          <w:color w:val="2D3B45"/>
        </w:rPr>
        <w:t>For Loop Statements (pg. 84)</w:t>
      </w:r>
    </w:p>
    <w:p w:rsidR="00E10B88" w:rsidRDefault="00E10B88" w:rsidP="00E10B88">
      <w:pPr>
        <w:pStyle w:val="NormalWeb"/>
        <w:numPr>
          <w:ilvl w:val="0"/>
          <w:numId w:val="7"/>
        </w:numPr>
        <w:shd w:val="clear" w:color="auto" w:fill="FFFFFF"/>
        <w:spacing w:before="180" w:beforeAutospacing="0" w:after="180" w:afterAutospacing="0"/>
        <w:ind w:left="375"/>
        <w:rPr>
          <w:rFonts w:ascii="Helvetica Neue" w:hAnsi="Helvetica Neue"/>
          <w:color w:val="2D3B45"/>
        </w:rPr>
      </w:pPr>
      <w:r>
        <w:rPr>
          <w:rFonts w:ascii="Helvetica Neue" w:hAnsi="Helvetica Neue"/>
          <w:color w:val="2D3B45"/>
        </w:rPr>
        <w:t>While Loop Statements (pg. 87)</w:t>
      </w: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Pr>
          <w:rStyle w:val="Strong"/>
          <w:rFonts w:ascii="Helvetica Neue" w:hAnsi="Helvetica Neue"/>
          <w:color w:val="2D3B45"/>
        </w:rPr>
        <w:t>Exceptions</w:t>
      </w:r>
      <w:r>
        <w:rPr>
          <w:rFonts w:ascii="Helvetica Neue" w:hAnsi="Helvetica Neue"/>
          <w:color w:val="2D3B45"/>
        </w:rPr>
        <w:t> (pg. 92)</w:t>
      </w: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Pr>
          <w:rFonts w:ascii="Helvetica Neue" w:hAnsi="Helvetica Neue"/>
          <w:color w:val="2D3B45"/>
        </w:rPr>
        <w:t>The exception block manages any exceptions that occur while running the execution block. Errors raised in the declaration block are thrown to and managed by the calling scope program.</w:t>
      </w: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Pr>
          <w:rFonts w:ascii="Helvetica Neue" w:hAnsi="Helvetica Neue"/>
          <w:color w:val="2D3B45"/>
        </w:rPr>
        <w:t>Make sure to review these topics and their implementation.</w:t>
      </w:r>
    </w:p>
    <w:p w:rsidR="00E10B88" w:rsidRDefault="00E10B88" w:rsidP="00E10B88">
      <w:pPr>
        <w:pStyle w:val="NormalWeb"/>
        <w:numPr>
          <w:ilvl w:val="0"/>
          <w:numId w:val="8"/>
        </w:numPr>
        <w:shd w:val="clear" w:color="auto" w:fill="FFFFFF"/>
        <w:spacing w:before="180" w:beforeAutospacing="0" w:after="180" w:afterAutospacing="0"/>
        <w:ind w:left="375"/>
        <w:rPr>
          <w:rFonts w:ascii="Helvetica Neue" w:hAnsi="Helvetica Neue"/>
          <w:color w:val="2D3B45"/>
        </w:rPr>
      </w:pPr>
      <w:r>
        <w:rPr>
          <w:rStyle w:val="Strong"/>
          <w:rFonts w:ascii="Helvetica Neue" w:hAnsi="Helvetica Neue"/>
          <w:color w:val="2D3B45"/>
        </w:rPr>
        <w:t>User-Defined Exceptions</w:t>
      </w:r>
      <w:r>
        <w:rPr>
          <w:rFonts w:ascii="Helvetica Neue" w:hAnsi="Helvetica Neue"/>
          <w:color w:val="2D3B45"/>
        </w:rPr>
        <w:t> (pg. 93)</w:t>
      </w:r>
    </w:p>
    <w:p w:rsidR="00E10B88" w:rsidRDefault="00E10B88" w:rsidP="00E10B88">
      <w:pPr>
        <w:pStyle w:val="NormalWeb"/>
        <w:numPr>
          <w:ilvl w:val="0"/>
          <w:numId w:val="8"/>
        </w:numPr>
        <w:shd w:val="clear" w:color="auto" w:fill="FFFFFF"/>
        <w:spacing w:before="180" w:beforeAutospacing="0" w:after="180" w:afterAutospacing="0"/>
        <w:ind w:left="375"/>
        <w:rPr>
          <w:rFonts w:ascii="Helvetica Neue" w:hAnsi="Helvetica Neue"/>
          <w:color w:val="2D3B45"/>
        </w:rPr>
      </w:pPr>
      <w:r>
        <w:rPr>
          <w:rStyle w:val="Strong"/>
          <w:rFonts w:ascii="Helvetica Neue" w:hAnsi="Helvetica Neue"/>
          <w:color w:val="2D3B45"/>
        </w:rPr>
        <w:t>Dynamic User-Defined Exceptions</w:t>
      </w:r>
      <w:r>
        <w:rPr>
          <w:rFonts w:ascii="Helvetica Neue" w:hAnsi="Helvetica Neue"/>
          <w:color w:val="2D3B45"/>
        </w:rPr>
        <w:t> (pg. 94) </w:t>
      </w: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Pr>
          <w:rStyle w:val="Strong"/>
          <w:rFonts w:ascii="Helvetica Neue" w:hAnsi="Helvetica Neue"/>
          <w:color w:val="2D3B45"/>
        </w:rPr>
        <w:t>Functions, Procedures, and Packages</w:t>
      </w:r>
      <w:r>
        <w:rPr>
          <w:rFonts w:ascii="Helvetica Neue" w:hAnsi="Helvetica Neue"/>
          <w:color w:val="2D3B45"/>
        </w:rPr>
        <w:t> (pg. 97)</w:t>
      </w: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Pr>
          <w:rFonts w:ascii="Helvetica Neue" w:hAnsi="Helvetica Neue"/>
          <w:color w:val="2D3B45"/>
        </w:rPr>
        <w:t xml:space="preserve">PL/SQL stored programming units are typically </w:t>
      </w:r>
      <w:proofErr w:type="gramStart"/>
      <w:r>
        <w:rPr>
          <w:rFonts w:ascii="Helvetica Neue" w:hAnsi="Helvetica Neue"/>
          <w:color w:val="2D3B45"/>
        </w:rPr>
        <w:t>functions</w:t>
      </w:r>
      <w:proofErr w:type="gramEnd"/>
      <w:r>
        <w:rPr>
          <w:rFonts w:ascii="Helvetica Neue" w:hAnsi="Helvetica Neue"/>
          <w:color w:val="2D3B45"/>
        </w:rPr>
        <w:t xml:space="preserve">, procedures, packages, and triggers. This functionality enables commonly required code to be written and tested </w:t>
      </w:r>
      <w:r>
        <w:rPr>
          <w:rFonts w:ascii="Helvetica Neue" w:hAnsi="Helvetica Neue"/>
          <w:color w:val="2D3B45"/>
        </w:rPr>
        <w:lastRenderedPageBreak/>
        <w:t>once and then accessed by any application that requires the code. Covered in more detail in chapters 8 and 9.</w:t>
      </w:r>
    </w:p>
    <w:p w:rsidR="00E10B88" w:rsidRDefault="00E10B88" w:rsidP="00E10B88">
      <w:pPr>
        <w:pStyle w:val="NormalWeb"/>
        <w:numPr>
          <w:ilvl w:val="0"/>
          <w:numId w:val="9"/>
        </w:numPr>
        <w:shd w:val="clear" w:color="auto" w:fill="FFFFFF"/>
        <w:spacing w:before="180" w:beforeAutospacing="0" w:after="180" w:afterAutospacing="0"/>
        <w:ind w:left="375"/>
        <w:rPr>
          <w:rFonts w:ascii="Helvetica Neue" w:hAnsi="Helvetica Neue"/>
          <w:color w:val="2D3B45"/>
        </w:rPr>
      </w:pPr>
      <w:r>
        <w:rPr>
          <w:rStyle w:val="Strong"/>
          <w:rFonts w:ascii="Helvetica Neue" w:hAnsi="Helvetica Neue"/>
          <w:color w:val="2D3B45"/>
        </w:rPr>
        <w:t>Functions</w:t>
      </w:r>
      <w:r>
        <w:rPr>
          <w:rFonts w:ascii="Helvetica Neue" w:hAnsi="Helvetica Neue"/>
          <w:color w:val="2D3B45"/>
        </w:rPr>
        <w:t> (pg. 97)</w:t>
      </w:r>
    </w:p>
    <w:p w:rsidR="00E10B88" w:rsidRDefault="00E10B88" w:rsidP="00E10B88">
      <w:pPr>
        <w:pStyle w:val="NormalWeb"/>
        <w:numPr>
          <w:ilvl w:val="0"/>
          <w:numId w:val="9"/>
        </w:numPr>
        <w:shd w:val="clear" w:color="auto" w:fill="FFFFFF"/>
        <w:spacing w:before="180" w:beforeAutospacing="0" w:after="180" w:afterAutospacing="0"/>
        <w:ind w:left="375"/>
        <w:rPr>
          <w:rFonts w:ascii="Helvetica Neue" w:hAnsi="Helvetica Neue"/>
          <w:color w:val="2D3B45"/>
        </w:rPr>
      </w:pPr>
      <w:r>
        <w:rPr>
          <w:rStyle w:val="Strong"/>
          <w:rFonts w:ascii="Helvetica Neue" w:hAnsi="Helvetica Neue"/>
          <w:color w:val="2D3B45"/>
        </w:rPr>
        <w:t>Procedures</w:t>
      </w:r>
      <w:r>
        <w:rPr>
          <w:rFonts w:ascii="Helvetica Neue" w:hAnsi="Helvetica Neue"/>
          <w:color w:val="2D3B45"/>
        </w:rPr>
        <w:t> (pg. 99)</w:t>
      </w:r>
    </w:p>
    <w:p w:rsidR="00E10B88" w:rsidRDefault="00E10B88" w:rsidP="00E10B88">
      <w:pPr>
        <w:pStyle w:val="NormalWeb"/>
        <w:numPr>
          <w:ilvl w:val="0"/>
          <w:numId w:val="9"/>
        </w:numPr>
        <w:shd w:val="clear" w:color="auto" w:fill="FFFFFF"/>
        <w:spacing w:before="180" w:beforeAutospacing="0" w:after="180" w:afterAutospacing="0"/>
        <w:ind w:left="375"/>
        <w:rPr>
          <w:rFonts w:ascii="Helvetica Neue" w:hAnsi="Helvetica Neue"/>
          <w:color w:val="2D3B45"/>
        </w:rPr>
      </w:pPr>
      <w:r>
        <w:rPr>
          <w:rStyle w:val="Strong"/>
          <w:rFonts w:ascii="Helvetica Neue" w:hAnsi="Helvetica Neue"/>
          <w:color w:val="2D3B45"/>
        </w:rPr>
        <w:t>Packages</w:t>
      </w:r>
      <w:r>
        <w:rPr>
          <w:rFonts w:ascii="Helvetica Neue" w:hAnsi="Helvetica Neue"/>
          <w:color w:val="2D3B45"/>
        </w:rPr>
        <w:t> (pg. 100)</w:t>
      </w: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Pr>
          <w:rStyle w:val="Strong"/>
          <w:rFonts w:ascii="Helvetica Neue" w:hAnsi="Helvetica Neue"/>
          <w:color w:val="2D3B45"/>
        </w:rPr>
        <w:t>Database Triggers</w:t>
      </w:r>
      <w:r>
        <w:rPr>
          <w:rFonts w:ascii="Helvetica Neue" w:hAnsi="Helvetica Neue"/>
          <w:color w:val="2D3B45"/>
        </w:rPr>
        <w:t> (pg. 108)</w:t>
      </w:r>
    </w:p>
    <w:p w:rsidR="00E10B88" w:rsidRDefault="00E10B88" w:rsidP="00E10B88">
      <w:pPr>
        <w:pStyle w:val="NormalWeb"/>
        <w:shd w:val="clear" w:color="auto" w:fill="FFFFFF"/>
        <w:spacing w:before="180" w:beforeAutospacing="0" w:after="180" w:afterAutospacing="0"/>
        <w:rPr>
          <w:rFonts w:ascii="Helvetica Neue" w:hAnsi="Helvetica Neue"/>
          <w:color w:val="2D3B45"/>
        </w:rPr>
      </w:pPr>
      <w:r>
        <w:rPr>
          <w:rFonts w:ascii="Helvetica Neue" w:hAnsi="Helvetica Neue"/>
          <w:color w:val="2D3B45"/>
        </w:rPr>
        <w:t>Triggers are similar to stored procedures that run implicitly when an INSERT, UPDATE or DELETE statement is issued against the associated table or, in some cases, against a view or when database system actions occur. This topic is covered in more detail in Chapter 12.</w:t>
      </w:r>
    </w:p>
    <w:p w:rsidR="00164BC0" w:rsidRDefault="00164BC0" w:rsidP="00E10B88">
      <w:pPr>
        <w:pStyle w:val="ListBullet"/>
      </w:pPr>
    </w:p>
    <w:sectPr w:rsidR="00164BC0">
      <w:footerReference w:type="default" r:id="rId9"/>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60BB" w:rsidRDefault="001A60BB">
      <w:r>
        <w:separator/>
      </w:r>
    </w:p>
    <w:p w:rsidR="001A60BB" w:rsidRDefault="001A60BB"/>
  </w:endnote>
  <w:endnote w:type="continuationSeparator" w:id="0">
    <w:p w:rsidR="001A60BB" w:rsidRDefault="001A60BB">
      <w:r>
        <w:continuationSeparator/>
      </w:r>
    </w:p>
    <w:p w:rsidR="001A60BB" w:rsidRDefault="001A60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0699706"/>
      <w:docPartObj>
        <w:docPartGallery w:val="Page Numbers (Bottom of Page)"/>
        <w:docPartUnique/>
      </w:docPartObj>
    </w:sdtPr>
    <w:sdtEndPr>
      <w:rPr>
        <w:noProof/>
      </w:rPr>
    </w:sdtEndPr>
    <w:sdtContent>
      <w:p w:rsidR="00164BC0" w:rsidRDefault="001A60BB">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60BB" w:rsidRDefault="001A60BB">
      <w:r>
        <w:separator/>
      </w:r>
    </w:p>
    <w:p w:rsidR="001A60BB" w:rsidRDefault="001A60BB"/>
  </w:footnote>
  <w:footnote w:type="continuationSeparator" w:id="0">
    <w:p w:rsidR="001A60BB" w:rsidRDefault="001A60BB">
      <w:r>
        <w:continuationSeparator/>
      </w:r>
    </w:p>
    <w:p w:rsidR="001A60BB" w:rsidRDefault="001A60B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3F33D8F"/>
    <w:multiLevelType w:val="multilevel"/>
    <w:tmpl w:val="C0F4D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A00BEE"/>
    <w:multiLevelType w:val="multilevel"/>
    <w:tmpl w:val="D3529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442D15"/>
    <w:multiLevelType w:val="multilevel"/>
    <w:tmpl w:val="9AFAD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8A0E35"/>
    <w:multiLevelType w:val="multilevel"/>
    <w:tmpl w:val="80580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720C05F5"/>
    <w:multiLevelType w:val="multilevel"/>
    <w:tmpl w:val="4C023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4"/>
  </w:num>
  <w:num w:numId="4">
    <w:abstractNumId w:val="7"/>
  </w:num>
  <w:num w:numId="5">
    <w:abstractNumId w:val="3"/>
  </w:num>
  <w:num w:numId="6">
    <w:abstractNumId w:val="2"/>
    <w:lvlOverride w:ilvl="0">
      <w:lvl w:ilvl="0">
        <w:numFmt w:val="bullet"/>
        <w:lvlText w:val=""/>
        <w:lvlJc w:val="left"/>
        <w:pPr>
          <w:tabs>
            <w:tab w:val="num" w:pos="720"/>
          </w:tabs>
          <w:ind w:left="720" w:hanging="360"/>
        </w:pPr>
        <w:rPr>
          <w:rFonts w:ascii="Symbol" w:hAnsi="Symbol" w:hint="default"/>
          <w:sz w:val="20"/>
        </w:rPr>
      </w:lvl>
    </w:lvlOverride>
  </w:num>
  <w:num w:numId="7">
    <w:abstractNumId w:val="5"/>
    <w:lvlOverride w:ilvl="0">
      <w:lvl w:ilvl="0">
        <w:numFmt w:val="bullet"/>
        <w:lvlText w:val=""/>
        <w:lvlJc w:val="left"/>
        <w:pPr>
          <w:tabs>
            <w:tab w:val="num" w:pos="720"/>
          </w:tabs>
          <w:ind w:left="720" w:hanging="360"/>
        </w:pPr>
        <w:rPr>
          <w:rFonts w:ascii="Symbol" w:hAnsi="Symbol" w:hint="default"/>
          <w:sz w:val="20"/>
        </w:rPr>
      </w:lvl>
    </w:lvlOverride>
  </w:num>
  <w:num w:numId="8">
    <w:abstractNumId w:val="6"/>
    <w:lvlOverride w:ilvl="0">
      <w:lvl w:ilvl="0">
        <w:numFmt w:val="bullet"/>
        <w:lvlText w:val=""/>
        <w:lvlJc w:val="left"/>
        <w:pPr>
          <w:tabs>
            <w:tab w:val="num" w:pos="720"/>
          </w:tabs>
          <w:ind w:left="720" w:hanging="360"/>
        </w:pPr>
        <w:rPr>
          <w:rFonts w:ascii="Symbol" w:hAnsi="Symbol" w:hint="default"/>
          <w:sz w:val="20"/>
        </w:rPr>
      </w:lvl>
    </w:lvlOverride>
  </w:num>
  <w:num w:numId="9">
    <w:abstractNumId w:val="8"/>
    <w:lvlOverride w:ilvl="0">
      <w:lvl w:ilvl="0">
        <w:numFmt w:val="bullet"/>
        <w:lvlText w:val=""/>
        <w:lvlJc w:val="left"/>
        <w:pPr>
          <w:tabs>
            <w:tab w:val="num" w:pos="720"/>
          </w:tabs>
          <w:ind w:left="72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B88"/>
    <w:rsid w:val="00164BC0"/>
    <w:rsid w:val="001A60BB"/>
    <w:rsid w:val="002C50D5"/>
    <w:rsid w:val="00B1110F"/>
    <w:rsid w:val="00E10B88"/>
    <w:rsid w:val="00E92E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EA391"/>
  <w15:chartTrackingRefBased/>
  <w15:docId w15:val="{159E6E76-BDB6-934E-80B4-65124FB51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NormalWeb">
    <w:name w:val="Normal (Web)"/>
    <w:basedOn w:val="Normal"/>
    <w:uiPriority w:val="99"/>
    <w:semiHidden/>
    <w:unhideWhenUsed/>
    <w:rsid w:val="00E10B88"/>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906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iramtodd/Library/Containers/com.microsoft.Word/Data/Library/Application%20Support/Microsoft/Office/16.0/DTS/en-US%7bE9B8168F-7CE6-124A-903B-FEB1A1CA57A6%7d/%7b3FC9C0FF-7A29-8E41-B3BB-73C041FE14FB%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Take Notes.dotx</Template>
  <TotalTime>91</TotalTime>
  <Pages>4</Pages>
  <Words>565</Words>
  <Characters>3222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AND B</dc:creator>
  <cp:keywords/>
  <dc:description/>
  <cp:lastModifiedBy>H AND B</cp:lastModifiedBy>
  <cp:revision>2</cp:revision>
  <dcterms:created xsi:type="dcterms:W3CDTF">2018-09-27T22:12:00Z</dcterms:created>
  <dcterms:modified xsi:type="dcterms:W3CDTF">2018-09-28T02:58:00Z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