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D49" w:rsidRPr="00F04D49" w:rsidRDefault="00F04D49" w:rsidP="00F04D49">
      <w:pPr>
        <w:shd w:val="clear" w:color="auto" w:fill="FFFFFF"/>
        <w:spacing w:before="225" w:after="225" w:line="240" w:lineRule="auto"/>
        <w:outlineLvl w:val="0"/>
        <w:rPr>
          <w:rFonts w:ascii="Helvetica Neue" w:eastAsia="Times New Roman" w:hAnsi="Helvetica Neue" w:cs="Times New Roman"/>
          <w:color w:val="2D3B45"/>
          <w:kern w:val="36"/>
          <w:sz w:val="60"/>
          <w:szCs w:val="60"/>
          <w:lang w:eastAsia="en-US"/>
        </w:rPr>
      </w:pPr>
      <w:r w:rsidRPr="00F04D49">
        <w:rPr>
          <w:rFonts w:ascii="Helvetica Neue" w:eastAsia="Times New Roman" w:hAnsi="Helvetica Neue" w:cs="Times New Roman"/>
          <w:color w:val="2D3B45"/>
          <w:kern w:val="36"/>
          <w:sz w:val="60"/>
          <w:szCs w:val="60"/>
          <w:lang w:eastAsia="en-US"/>
        </w:rPr>
        <w:t>W03 Study: Materials</w:t>
      </w:r>
    </w:p>
    <w:p w:rsidR="00F04D49" w:rsidRPr="00F04D49" w:rsidRDefault="00F04D49" w:rsidP="00F04D49">
      <w:pPr>
        <w:shd w:val="clear" w:color="auto" w:fill="FFFFFF"/>
        <w:spacing w:before="90" w:after="90" w:line="240" w:lineRule="auto"/>
        <w:outlineLvl w:val="1"/>
        <w:rPr>
          <w:rFonts w:ascii="Helvetica Neue" w:eastAsia="Times New Roman" w:hAnsi="Helvetica Neue" w:cs="Times New Roman"/>
          <w:color w:val="2D3B45"/>
          <w:sz w:val="43"/>
          <w:szCs w:val="43"/>
          <w:lang w:eastAsia="en-US"/>
        </w:rPr>
      </w:pPr>
      <w:r w:rsidRPr="00F04D49">
        <w:rPr>
          <w:rFonts w:ascii="Helvetica Neue" w:eastAsia="Times New Roman" w:hAnsi="Helvetica Neue" w:cs="Times New Roman"/>
          <w:color w:val="2D3B45"/>
          <w:sz w:val="43"/>
          <w:szCs w:val="43"/>
          <w:lang w:eastAsia="en-US"/>
        </w:rPr>
        <w:t>Overview</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Your assigned reading will be as follows:</w:t>
      </w:r>
    </w:p>
    <w:p w:rsidR="00F04D49" w:rsidRPr="00F04D49" w:rsidRDefault="00F04D49" w:rsidP="00F04D49">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Chapter 4 (pgs. 112–151)</w:t>
      </w:r>
    </w:p>
    <w:p w:rsidR="00F04D49" w:rsidRPr="00F04D49" w:rsidRDefault="00F04D49" w:rsidP="00F04D49">
      <w:pPr>
        <w:shd w:val="clear" w:color="auto" w:fill="FFFFFF"/>
        <w:spacing w:before="90" w:after="90" w:line="240" w:lineRule="auto"/>
        <w:outlineLvl w:val="1"/>
        <w:rPr>
          <w:rFonts w:ascii="Helvetica Neue" w:eastAsia="Times New Roman" w:hAnsi="Helvetica Neue" w:cs="Times New Roman"/>
          <w:color w:val="2D3B45"/>
          <w:sz w:val="43"/>
          <w:szCs w:val="43"/>
          <w:lang w:eastAsia="en-US"/>
        </w:rPr>
      </w:pPr>
      <w:r w:rsidRPr="00F04D49">
        <w:rPr>
          <w:rFonts w:ascii="Helvetica Neue" w:eastAsia="Times New Roman" w:hAnsi="Helvetica Neue" w:cs="Times New Roman"/>
          <w:color w:val="2D3B45"/>
          <w:sz w:val="43"/>
          <w:szCs w:val="43"/>
          <w:lang w:eastAsia="en-US"/>
        </w:rPr>
        <w:t>Instructions</w:t>
      </w:r>
    </w:p>
    <w:p w:rsidR="00F04D49" w:rsidRPr="00F04D49" w:rsidRDefault="00F04D49" w:rsidP="00F04D49">
      <w:pPr>
        <w:shd w:val="clear" w:color="auto" w:fill="FFFFFF"/>
        <w:spacing w:before="240" w:after="240" w:line="240" w:lineRule="auto"/>
        <w:outlineLvl w:val="2"/>
        <w:rPr>
          <w:rFonts w:ascii="Helvetica Neue" w:eastAsia="Times New Roman" w:hAnsi="Helvetica Neue" w:cs="Times New Roman"/>
          <w:color w:val="2D3B45"/>
          <w:sz w:val="36"/>
          <w:szCs w:val="36"/>
          <w:lang w:eastAsia="en-US"/>
        </w:rPr>
      </w:pPr>
      <w:r w:rsidRPr="00F04D49">
        <w:rPr>
          <w:rFonts w:ascii="Helvetica Neue" w:eastAsia="Times New Roman" w:hAnsi="Helvetica Neue" w:cs="Times New Roman"/>
          <w:color w:val="2D3B45"/>
          <w:sz w:val="36"/>
          <w:szCs w:val="36"/>
          <w:lang w:eastAsia="en-US"/>
        </w:rPr>
        <w:t>Reading Notes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990000"/>
          <w:sz w:val="24"/>
          <w:szCs w:val="24"/>
          <w:lang w:eastAsia="en-US"/>
        </w:rPr>
        <w:t>Make sure you go over the following topics.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Figure 4-1 PL/Delimiters</w:t>
      </w:r>
      <w:r w:rsidRPr="00F04D49">
        <w:rPr>
          <w:rFonts w:ascii="Helvetica Neue" w:eastAsia="Times New Roman" w:hAnsi="Helvetica Neue" w:cs="Times New Roman"/>
          <w:color w:val="2D3B45"/>
          <w:sz w:val="24"/>
          <w:szCs w:val="24"/>
          <w:lang w:eastAsia="en-US"/>
        </w:rPr>
        <w:t> (pgs. 112–117)</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326"/>
        <w:gridCol w:w="7943"/>
      </w:tblGrid>
      <w:tr w:rsidR="00F04D49" w:rsidRPr="00F04D49" w:rsidTr="00F04D49">
        <w:trPr>
          <w:trHeight w:val="5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Assignment</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b/>
                <w:bCs/>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Colon Symbol. The only assignment operator in the language.</w:t>
            </w:r>
          </w:p>
        </w:tc>
      </w:tr>
      <w:tr w:rsidR="00F04D49" w:rsidRPr="00F04D49" w:rsidTr="00F04D49">
        <w:trPr>
          <w:trHeight w:val="5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Association</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Colon Symbol without the equals sign is a bind variable.</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&amp;</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Dissociation type used to do a substitution.</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Association object only used when applying attributes.</w:t>
            </w:r>
          </w:p>
        </w:tc>
      </w:tr>
      <w:tr w:rsidR="00F04D49" w:rsidRPr="00F04D49" w:rsidTr="00F04D49">
        <w:trPr>
          <w:trHeight w:val="825"/>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=&gt;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Name Dissociation Operator. What we want goes in the left-hand side and what we provide goes on the right-hand side.</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Used to run remote programs.</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Glues references together</w:t>
            </w:r>
          </w:p>
        </w:tc>
      </w:tr>
      <w:tr w:rsidR="00F04D49" w:rsidRPr="00F04D49" w:rsidTr="00F04D49">
        <w:trPr>
          <w:trHeight w:val="5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Association</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Glues strings.</w:t>
            </w:r>
          </w:p>
        </w:tc>
      </w:tr>
      <w:tr w:rsidR="00F04D49" w:rsidRPr="00F04D49" w:rsidTr="00F04D49">
        <w:trPr>
          <w:trHeight w:val="540"/>
        </w:trPr>
        <w:tc>
          <w:tcPr>
            <w:tcW w:w="0" w:type="auto"/>
            <w:gridSpan w:val="2"/>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Comparison</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lastRenderedPageBreak/>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Equality operations.</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Not equal to.</w:t>
            </w:r>
          </w:p>
        </w:tc>
      </w:tr>
      <w:tr w:rsidR="00F04D49" w:rsidRPr="00F04D49" w:rsidTr="00F04D49">
        <w:trPr>
          <w:trHeight w:val="825"/>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&lt;&gt; != ^= &gt; &lt; &gt;= &gt;= &lt;=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Comparison operators</w:t>
            </w:r>
          </w:p>
        </w:tc>
      </w:tr>
      <w:tr w:rsidR="00F04D49" w:rsidRPr="00F04D49" w:rsidTr="00F04D49">
        <w:trPr>
          <w:trHeight w:val="825"/>
        </w:trPr>
        <w:tc>
          <w:tcPr>
            <w:tcW w:w="0" w:type="auto"/>
            <w:gridSpan w:val="2"/>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Anytime we use the word “IS” we are using a reference operator. It looks at what is in the variable and evaluates the content before comparison </w:t>
            </w:r>
            <w:r w:rsidRPr="00F04D49">
              <w:rPr>
                <w:rFonts w:ascii="Times New Roman" w:eastAsia="Times New Roman" w:hAnsi="Times New Roman" w:cs="Times New Roman"/>
                <w:b/>
                <w:bCs/>
                <w:color w:val="auto"/>
                <w:sz w:val="24"/>
                <w:szCs w:val="24"/>
                <w:lang w:eastAsia="en-US"/>
              </w:rPr>
              <w:t>(IS NULL, IS EMPTY, and IS SET.)</w:t>
            </w:r>
          </w:p>
        </w:tc>
      </w:tr>
      <w:tr w:rsidR="00F04D49" w:rsidRPr="00F04D49" w:rsidTr="00F04D49">
        <w:trPr>
          <w:trHeight w:val="540"/>
        </w:trPr>
        <w:tc>
          <w:tcPr>
            <w:tcW w:w="0" w:type="auto"/>
            <w:gridSpan w:val="2"/>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Delimiter</w:t>
            </w:r>
          </w:p>
        </w:tc>
      </w:tr>
      <w:tr w:rsidR="00F04D49" w:rsidRPr="00F04D49" w:rsidTr="00F04D49">
        <w:trPr>
          <w:trHeight w:val="825"/>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 () , &lt;&lt; &gt;&gt; -- /**/ “"</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Delimiter</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 “</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Double quotation </w:t>
            </w:r>
            <w:r w:rsidRPr="00F04D49">
              <w:rPr>
                <w:rFonts w:ascii="Times New Roman" w:eastAsia="Times New Roman" w:hAnsi="Times New Roman" w:cs="Times New Roman"/>
                <w:b/>
                <w:bCs/>
                <w:color w:val="auto"/>
                <w:sz w:val="24"/>
                <w:szCs w:val="24"/>
                <w:lang w:eastAsia="en-US"/>
              </w:rPr>
              <w:t>won’t be used in the class</w:t>
            </w:r>
            <w:r w:rsidRPr="00F04D49">
              <w:rPr>
                <w:rFonts w:ascii="Times New Roman" w:eastAsia="Times New Roman" w:hAnsi="Times New Roman" w:cs="Times New Roman"/>
                <w:color w:val="auto"/>
                <w:sz w:val="24"/>
                <w:szCs w:val="24"/>
                <w:lang w:eastAsia="en-US"/>
              </w:rPr>
              <w:t>. Avoid using it in any case.</w:t>
            </w:r>
          </w:p>
        </w:tc>
      </w:tr>
      <w:tr w:rsidR="00F04D49" w:rsidRPr="00F04D49" w:rsidTr="00F04D49">
        <w:trPr>
          <w:trHeight w:val="540"/>
        </w:trPr>
        <w:tc>
          <w:tcPr>
            <w:tcW w:w="0" w:type="auto"/>
            <w:gridSpan w:val="2"/>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Math</w:t>
            </w:r>
          </w:p>
        </w:tc>
      </w:tr>
      <w:tr w:rsidR="00F04D49" w:rsidRPr="00F04D49" w:rsidTr="00F04D49">
        <w:trPr>
          <w:trHeight w:val="54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 / * - :</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Math</w:t>
            </w:r>
          </w:p>
        </w:tc>
      </w:tr>
      <w:tr w:rsidR="00F04D49" w:rsidRPr="00F04D49" w:rsidTr="00F04D49">
        <w:trPr>
          <w:trHeight w:val="825"/>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Exponent use the Oracle Math library in an inefficient way and could produce errors. </w:t>
            </w:r>
            <w:r w:rsidRPr="00F04D49">
              <w:rPr>
                <w:rFonts w:ascii="Times New Roman" w:eastAsia="Times New Roman" w:hAnsi="Times New Roman" w:cs="Times New Roman"/>
                <w:b/>
                <w:bCs/>
                <w:color w:val="auto"/>
                <w:sz w:val="24"/>
                <w:szCs w:val="24"/>
                <w:lang w:eastAsia="en-US"/>
              </w:rPr>
              <w:t xml:space="preserve">You should use the built-in function </w:t>
            </w:r>
            <w:proofErr w:type="gramStart"/>
            <w:r w:rsidRPr="00F04D49">
              <w:rPr>
                <w:rFonts w:ascii="Times New Roman" w:eastAsia="Times New Roman" w:hAnsi="Times New Roman" w:cs="Times New Roman"/>
                <w:b/>
                <w:bCs/>
                <w:color w:val="auto"/>
                <w:sz w:val="24"/>
                <w:szCs w:val="24"/>
                <w:lang w:eastAsia="en-US"/>
              </w:rPr>
              <w:t>POWER(</w:t>
            </w:r>
            <w:proofErr w:type="gramEnd"/>
            <w:r w:rsidRPr="00F04D49">
              <w:rPr>
                <w:rFonts w:ascii="Times New Roman" w:eastAsia="Times New Roman" w:hAnsi="Times New Roman" w:cs="Times New Roman"/>
                <w:b/>
                <w:bCs/>
                <w:color w:val="auto"/>
                <w:sz w:val="24"/>
                <w:szCs w:val="24"/>
                <w:lang w:eastAsia="en-US"/>
              </w:rPr>
              <w:t>)</w:t>
            </w:r>
            <w:r w:rsidRPr="00F04D49">
              <w:rPr>
                <w:rFonts w:ascii="Times New Roman" w:eastAsia="Times New Roman" w:hAnsi="Times New Roman" w:cs="Times New Roman"/>
                <w:color w:val="auto"/>
                <w:sz w:val="24"/>
                <w:szCs w:val="24"/>
                <w:lang w:eastAsia="en-US"/>
              </w:rPr>
              <w:t> instead of (**).</w:t>
            </w:r>
          </w:p>
        </w:tc>
      </w:tr>
      <w:tr w:rsidR="00F04D49" w:rsidRPr="00F04D49" w:rsidTr="00F04D49">
        <w:trPr>
          <w:trHeight w:val="5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F2A27"/>
            <w:tcMar>
              <w:top w:w="30" w:type="dxa"/>
              <w:left w:w="30" w:type="dxa"/>
              <w:bottom w:w="30" w:type="dxa"/>
              <w:right w:w="30" w:type="dxa"/>
            </w:tcMa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FFFFFF"/>
                <w:sz w:val="24"/>
                <w:szCs w:val="24"/>
                <w:lang w:eastAsia="en-US"/>
              </w:rPr>
              <w:t>Statement</w:t>
            </w:r>
          </w:p>
        </w:tc>
      </w:tr>
      <w:tr w:rsidR="00F04D49" w:rsidRPr="00F04D49" w:rsidTr="00F04D49">
        <w:trPr>
          <w:trHeight w:val="50"/>
        </w:trPr>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after="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w:t>
            </w:r>
          </w:p>
        </w:tc>
        <w:tc>
          <w:tcPr>
            <w:tcW w:w="0" w:type="auto"/>
            <w:shd w:val="clear" w:color="auto" w:fill="auto"/>
            <w:tcMar>
              <w:top w:w="30" w:type="dxa"/>
              <w:left w:w="30" w:type="dxa"/>
              <w:bottom w:w="30" w:type="dxa"/>
              <w:right w:w="30" w:type="dxa"/>
            </w:tcMar>
            <w:vAlign w:val="center"/>
            <w:hideMark/>
          </w:tcPr>
          <w:p w:rsidR="00F04D49" w:rsidRPr="00F04D49" w:rsidRDefault="00F04D49" w:rsidP="00F04D49">
            <w:pPr>
              <w:spacing w:before="180" w:after="180" w:line="240" w:lineRule="auto"/>
              <w:rPr>
                <w:rFonts w:ascii="Times New Roman" w:eastAsia="Times New Roman" w:hAnsi="Times New Roman" w:cs="Times New Roman"/>
                <w:color w:val="auto"/>
                <w:sz w:val="24"/>
                <w:szCs w:val="24"/>
                <w:lang w:eastAsia="en-US"/>
              </w:rPr>
            </w:pPr>
            <w:r w:rsidRPr="00F04D49">
              <w:rPr>
                <w:rFonts w:ascii="Times New Roman" w:eastAsia="Times New Roman" w:hAnsi="Times New Roman" w:cs="Times New Roman"/>
                <w:color w:val="auto"/>
                <w:sz w:val="24"/>
                <w:szCs w:val="24"/>
                <w:lang w:eastAsia="en-US"/>
              </w:rPr>
              <w:t>Statement terminator. *You must close any statement or block unit in PL/SQL with a statement terminator.</w:t>
            </w:r>
          </w:p>
        </w:tc>
      </w:tr>
    </w:tbl>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Identifiers</w:t>
      </w:r>
      <w:r w:rsidRPr="00F04D49">
        <w:rPr>
          <w:rFonts w:ascii="Helvetica Neue" w:eastAsia="Times New Roman" w:hAnsi="Helvetica Neue" w:cs="Times New Roman"/>
          <w:color w:val="2D3B45"/>
          <w:sz w:val="24"/>
          <w:szCs w:val="24"/>
          <w:lang w:eastAsia="en-US"/>
        </w:rPr>
        <w:t> (pg.118)</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Reserved Words, Keywords, Predefined identifiers, Quoted identifiers, User-Defined Variables, Subroutines, and User-Defined Data Types.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Literals</w:t>
      </w:r>
      <w:r w:rsidRPr="00F04D49">
        <w:rPr>
          <w:rFonts w:ascii="Helvetica Neue" w:eastAsia="Times New Roman" w:hAnsi="Helvetica Neue" w:cs="Times New Roman"/>
          <w:color w:val="2D3B45"/>
          <w:sz w:val="24"/>
          <w:szCs w:val="24"/>
          <w:lang w:eastAsia="en-US"/>
        </w:rPr>
        <w:t> (pg. 119)</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String literals, numeric literals, Boolean literals, date literals.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Date literals are strings. Oracle calls them literals, but they are only literals when they meet their date formatting mask.</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Figure 4-2 Variables and Data Types</w:t>
      </w:r>
      <w:r w:rsidRPr="00F04D49">
        <w:rPr>
          <w:rFonts w:ascii="Helvetica Neue" w:eastAsia="Times New Roman" w:hAnsi="Helvetica Neue" w:cs="Times New Roman"/>
          <w:color w:val="2D3B45"/>
          <w:sz w:val="24"/>
          <w:szCs w:val="24"/>
          <w:lang w:eastAsia="en-US"/>
        </w:rPr>
        <w:t> (pg. 124)</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Implicit Casting: In all cases where there is an x in the table, the data type will be automatically cast for you. If there is not an x, you will need to convert the data for any comparison or assignment.</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lastRenderedPageBreak/>
        <w:t>The PL/SQL Buffer and Outputting to the Console</w:t>
      </w:r>
      <w:r w:rsidRPr="00F04D49">
        <w:rPr>
          <w:rFonts w:ascii="Helvetica Neue" w:eastAsia="Times New Roman" w:hAnsi="Helvetica Neue" w:cs="Times New Roman"/>
          <w:color w:val="2D3B45"/>
          <w:sz w:val="24"/>
          <w:szCs w:val="24"/>
          <w:lang w:eastAsia="en-US"/>
        </w:rPr>
        <w:t>. (p. 125)</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You must enable the SQL*PLUS SERVEROUTPUT environment variable to print content to the console. The limit size used to be one million, but it was overwritten in version 10. We will use “SET SERVEROUTPUT ON SIZE UNLIMITED.”</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Figure 4-3 Scalar Types</w:t>
      </w:r>
      <w:r w:rsidRPr="00F04D49">
        <w:rPr>
          <w:rFonts w:ascii="Helvetica Neue" w:eastAsia="Times New Roman" w:hAnsi="Helvetica Neue" w:cs="Times New Roman"/>
          <w:color w:val="2D3B45"/>
          <w:sz w:val="24"/>
          <w:szCs w:val="24"/>
          <w:lang w:eastAsia="en-US"/>
        </w:rPr>
        <w:t> (pg. 127)</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Four basic classes of variables.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Number Data Types.</w:t>
      </w:r>
    </w:p>
    <w:p w:rsidR="00F04D49" w:rsidRPr="00F04D49" w:rsidRDefault="00F04D49" w:rsidP="00F04D49">
      <w:pPr>
        <w:numPr>
          <w:ilvl w:val="0"/>
          <w:numId w:val="6"/>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BINARY_INTEGER and IEEE - 754:</w:t>
      </w:r>
      <w:r w:rsidRPr="00F04D49">
        <w:rPr>
          <w:rFonts w:ascii="Helvetica Neue" w:eastAsia="Times New Roman" w:hAnsi="Helvetica Neue" w:cs="Times New Roman"/>
          <w:color w:val="2D3B45"/>
          <w:sz w:val="24"/>
          <w:szCs w:val="24"/>
          <w:lang w:eastAsia="en-US"/>
        </w:rPr>
        <w:t> Special Data Object types in Oracle. They deal with scientific calculations.</w:t>
      </w:r>
    </w:p>
    <w:p w:rsidR="00F04D49" w:rsidRPr="00F04D49" w:rsidRDefault="00F04D49" w:rsidP="00F04D49">
      <w:pPr>
        <w:numPr>
          <w:ilvl w:val="0"/>
          <w:numId w:val="6"/>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Number:</w:t>
      </w:r>
      <w:r w:rsidRPr="00F04D49">
        <w:rPr>
          <w:rFonts w:ascii="Helvetica Neue" w:eastAsia="Times New Roman" w:hAnsi="Helvetica Neue" w:cs="Times New Roman"/>
          <w:color w:val="2D3B45"/>
          <w:sz w:val="24"/>
          <w:szCs w:val="24"/>
          <w:lang w:eastAsia="en-US"/>
        </w:rPr>
        <w:t> Standard numbers.</w:t>
      </w:r>
    </w:p>
    <w:p w:rsidR="00F04D49" w:rsidRPr="00F04D49" w:rsidRDefault="00F04D49" w:rsidP="00F04D49">
      <w:pPr>
        <w:numPr>
          <w:ilvl w:val="0"/>
          <w:numId w:val="6"/>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PLS_INTEGER:</w:t>
      </w:r>
      <w:r w:rsidRPr="00F04D49">
        <w:rPr>
          <w:rFonts w:ascii="Helvetica Neue" w:eastAsia="Times New Roman" w:hAnsi="Helvetica Neue" w:cs="Times New Roman"/>
          <w:color w:val="2D3B45"/>
          <w:sz w:val="24"/>
          <w:szCs w:val="24"/>
          <w:lang w:eastAsia="en-US"/>
        </w:rPr>
        <w:t> Used for navigation in loops.</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Character Data Types</w:t>
      </w:r>
    </w:p>
    <w:p w:rsidR="00F04D49" w:rsidRPr="00F04D49" w:rsidRDefault="00F04D49" w:rsidP="00F04D49">
      <w:pPr>
        <w:numPr>
          <w:ilvl w:val="0"/>
          <w:numId w:val="7"/>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proofErr w:type="spellStart"/>
      <w:r w:rsidRPr="00F04D49">
        <w:rPr>
          <w:rFonts w:ascii="Helvetica Neue" w:eastAsia="Times New Roman" w:hAnsi="Helvetica Neue" w:cs="Times New Roman"/>
          <w:b/>
          <w:bCs/>
          <w:color w:val="2D3B45"/>
          <w:sz w:val="24"/>
          <w:szCs w:val="24"/>
          <w:lang w:eastAsia="en-US"/>
        </w:rPr>
        <w:t>Char</w:t>
      </w:r>
      <w:proofErr w:type="spellEnd"/>
      <w:r w:rsidRPr="00F04D49">
        <w:rPr>
          <w:rFonts w:ascii="Helvetica Neue" w:eastAsia="Times New Roman" w:hAnsi="Helvetica Neue" w:cs="Times New Roman"/>
          <w:b/>
          <w:bCs/>
          <w:color w:val="2D3B45"/>
          <w:sz w:val="24"/>
          <w:szCs w:val="24"/>
          <w:lang w:eastAsia="en-US"/>
        </w:rPr>
        <w:t>:</w:t>
      </w:r>
      <w:r w:rsidRPr="00F04D49">
        <w:rPr>
          <w:rFonts w:ascii="Helvetica Neue" w:eastAsia="Times New Roman" w:hAnsi="Helvetica Neue" w:cs="Times New Roman"/>
          <w:color w:val="2D3B45"/>
          <w:sz w:val="24"/>
          <w:szCs w:val="24"/>
          <w:lang w:eastAsia="en-US"/>
        </w:rPr>
        <w:t> CHARACTER is an alias for CHAR.</w:t>
      </w:r>
    </w:p>
    <w:p w:rsidR="00F04D49" w:rsidRPr="00F04D49" w:rsidRDefault="00F04D49" w:rsidP="00F04D49">
      <w:pPr>
        <w:numPr>
          <w:ilvl w:val="0"/>
          <w:numId w:val="7"/>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LONG and LONG RAW:</w:t>
      </w:r>
      <w:r w:rsidRPr="00F04D49">
        <w:rPr>
          <w:rFonts w:ascii="Helvetica Neue" w:eastAsia="Times New Roman" w:hAnsi="Helvetica Neue" w:cs="Times New Roman"/>
          <w:color w:val="2D3B45"/>
          <w:sz w:val="24"/>
          <w:szCs w:val="24"/>
          <w:lang w:eastAsia="en-US"/>
        </w:rPr>
        <w:t> Datatypes use by Oracle to host the bodies of triggers and views.</w:t>
      </w:r>
    </w:p>
    <w:p w:rsidR="00F04D49" w:rsidRPr="00F04D49" w:rsidRDefault="00F04D49" w:rsidP="00F04D49">
      <w:pPr>
        <w:numPr>
          <w:ilvl w:val="0"/>
          <w:numId w:val="7"/>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NCHAR and NVARCHAR2:</w:t>
      </w:r>
      <w:r w:rsidRPr="00F04D49">
        <w:rPr>
          <w:rFonts w:ascii="Helvetica Neue" w:eastAsia="Times New Roman" w:hAnsi="Helvetica Neue" w:cs="Times New Roman"/>
          <w:color w:val="2D3B45"/>
          <w:sz w:val="24"/>
          <w:szCs w:val="24"/>
          <w:lang w:eastAsia="en-US"/>
        </w:rPr>
        <w:t> String alias that points to VARCHAR2</w:t>
      </w:r>
    </w:p>
    <w:p w:rsidR="00F04D49" w:rsidRPr="00F04D49" w:rsidRDefault="00F04D49" w:rsidP="00F04D49">
      <w:pPr>
        <w:numPr>
          <w:ilvl w:val="0"/>
          <w:numId w:val="7"/>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ROWID and UROWID:</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Date, Time &amp; Interval Data Types</w:t>
      </w:r>
    </w:p>
    <w:p w:rsidR="00F04D49" w:rsidRPr="00F04D49" w:rsidRDefault="00F04D49" w:rsidP="00F04D49">
      <w:pPr>
        <w:numPr>
          <w:ilvl w:val="0"/>
          <w:numId w:val="8"/>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Interval Data Types:</w:t>
      </w:r>
      <w:r w:rsidRPr="00F04D49">
        <w:rPr>
          <w:rFonts w:ascii="Helvetica Neue" w:eastAsia="Times New Roman" w:hAnsi="Helvetica Neue" w:cs="Times New Roman"/>
          <w:color w:val="2D3B45"/>
          <w:sz w:val="24"/>
          <w:szCs w:val="24"/>
          <w:lang w:eastAsia="en-US"/>
        </w:rPr>
        <w:t> They have a great degree of precision.</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Large Object Data Types</w:t>
      </w:r>
    </w:p>
    <w:p w:rsidR="00F04D49" w:rsidRPr="00F04D49" w:rsidRDefault="00F04D49" w:rsidP="00F04D49">
      <w:pPr>
        <w:numPr>
          <w:ilvl w:val="0"/>
          <w:numId w:val="9"/>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BFILE and BLOB:</w:t>
      </w:r>
      <w:r w:rsidRPr="00F04D49">
        <w:rPr>
          <w:rFonts w:ascii="Helvetica Neue" w:eastAsia="Times New Roman" w:hAnsi="Helvetica Neue" w:cs="Times New Roman"/>
          <w:color w:val="2D3B45"/>
          <w:sz w:val="24"/>
          <w:szCs w:val="24"/>
          <w:lang w:eastAsia="en-US"/>
        </w:rPr>
        <w:t> Binary types that generally require a different programming language to render them.</w:t>
      </w:r>
    </w:p>
    <w:p w:rsidR="00F04D49" w:rsidRPr="00F04D49" w:rsidRDefault="00F04D49" w:rsidP="00F04D49">
      <w:pPr>
        <w:numPr>
          <w:ilvl w:val="0"/>
          <w:numId w:val="9"/>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CLOB:</w:t>
      </w:r>
      <w:r w:rsidRPr="00F04D49">
        <w:rPr>
          <w:rFonts w:ascii="Helvetica Neue" w:eastAsia="Times New Roman" w:hAnsi="Helvetica Neue" w:cs="Times New Roman"/>
          <w:color w:val="2D3B45"/>
          <w:sz w:val="24"/>
          <w:szCs w:val="24"/>
          <w:lang w:eastAsia="en-US"/>
        </w:rPr>
        <w:t> Large read-write character data type.</w:t>
      </w:r>
    </w:p>
    <w:p w:rsidR="00F04D49" w:rsidRPr="00F04D49" w:rsidRDefault="00F04D49" w:rsidP="00F04D49">
      <w:pPr>
        <w:numPr>
          <w:ilvl w:val="0"/>
          <w:numId w:val="9"/>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BLOB and CLOB:</w:t>
      </w:r>
      <w:r w:rsidRPr="00F04D49">
        <w:rPr>
          <w:rFonts w:ascii="Helvetica Neue" w:eastAsia="Times New Roman" w:hAnsi="Helvetica Neue" w:cs="Times New Roman"/>
          <w:color w:val="2D3B45"/>
          <w:sz w:val="24"/>
          <w:szCs w:val="24"/>
          <w:lang w:eastAsia="en-US"/>
        </w:rPr>
        <w:t> They can host up to 32 terabytes of data in a single column.</w:t>
      </w:r>
    </w:p>
    <w:p w:rsidR="00F04D49" w:rsidRPr="00F04D49" w:rsidRDefault="00F04D49" w:rsidP="00F04D49">
      <w:pPr>
        <w:shd w:val="clear" w:color="auto" w:fill="FFFFFF"/>
        <w:spacing w:before="180" w:after="180" w:line="240" w:lineRule="auto"/>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Composite Data Types</w:t>
      </w:r>
      <w:r w:rsidRPr="00F04D49">
        <w:rPr>
          <w:rFonts w:ascii="Helvetica Neue" w:eastAsia="Times New Roman" w:hAnsi="Helvetica Neue" w:cs="Times New Roman"/>
          <w:color w:val="2D3B45"/>
          <w:sz w:val="24"/>
          <w:szCs w:val="24"/>
          <w:lang w:eastAsia="en-US"/>
        </w:rPr>
        <w:t> (pg. 144)</w:t>
      </w:r>
    </w:p>
    <w:p w:rsidR="00F04D49" w:rsidRPr="00F04D49" w:rsidRDefault="00F04D49" w:rsidP="00F04D49">
      <w:pPr>
        <w:numPr>
          <w:ilvl w:val="0"/>
          <w:numId w:val="10"/>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Records and Objects Data Types</w:t>
      </w:r>
    </w:p>
    <w:p w:rsidR="00F04D49" w:rsidRPr="00F04D49" w:rsidRDefault="00F04D49" w:rsidP="00F04D49">
      <w:pPr>
        <w:numPr>
          <w:ilvl w:val="0"/>
          <w:numId w:val="10"/>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color w:val="2D3B45"/>
          <w:sz w:val="24"/>
          <w:szCs w:val="24"/>
          <w:lang w:eastAsia="en-US"/>
        </w:rPr>
        <w:t>A brief introduction to Records and Objects. This is an overview, we will come back to them in Chapter 6.</w:t>
      </w:r>
    </w:p>
    <w:p w:rsidR="00F04D49" w:rsidRPr="00F04D49" w:rsidRDefault="00F04D49" w:rsidP="00F04D49">
      <w:pPr>
        <w:numPr>
          <w:ilvl w:val="0"/>
          <w:numId w:val="10"/>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ADT</w:t>
      </w:r>
      <w:r w:rsidRPr="00F04D49">
        <w:rPr>
          <w:rFonts w:ascii="Helvetica Neue" w:eastAsia="Times New Roman" w:hAnsi="Helvetica Neue" w:cs="Times New Roman"/>
          <w:color w:val="2D3B45"/>
          <w:sz w:val="24"/>
          <w:szCs w:val="24"/>
          <w:lang w:eastAsia="en-US"/>
        </w:rPr>
        <w:t>: Attribute Data Type.</w:t>
      </w:r>
    </w:p>
    <w:p w:rsidR="00073C31" w:rsidRPr="00F04D49" w:rsidRDefault="00F04D49" w:rsidP="00F04D49">
      <w:pPr>
        <w:numPr>
          <w:ilvl w:val="0"/>
          <w:numId w:val="10"/>
        </w:numPr>
        <w:shd w:val="clear" w:color="auto" w:fill="FFFFFF"/>
        <w:spacing w:before="180" w:after="180" w:line="240" w:lineRule="auto"/>
        <w:ind w:left="375"/>
        <w:rPr>
          <w:rFonts w:ascii="Helvetica Neue" w:eastAsia="Times New Roman" w:hAnsi="Helvetica Neue" w:cs="Times New Roman"/>
          <w:color w:val="2D3B45"/>
          <w:sz w:val="24"/>
          <w:szCs w:val="24"/>
          <w:lang w:eastAsia="en-US"/>
        </w:rPr>
      </w:pPr>
      <w:r w:rsidRPr="00F04D49">
        <w:rPr>
          <w:rFonts w:ascii="Helvetica Neue" w:eastAsia="Times New Roman" w:hAnsi="Helvetica Neue" w:cs="Times New Roman"/>
          <w:b/>
          <w:bCs/>
          <w:color w:val="2D3B45"/>
          <w:sz w:val="24"/>
          <w:szCs w:val="24"/>
          <w:lang w:eastAsia="en-US"/>
        </w:rPr>
        <w:t>UDT:</w:t>
      </w:r>
      <w:r w:rsidRPr="00F04D49">
        <w:rPr>
          <w:rFonts w:ascii="Helvetica Neue" w:eastAsia="Times New Roman" w:hAnsi="Helvetica Neue" w:cs="Times New Roman"/>
          <w:color w:val="2D3B45"/>
          <w:sz w:val="24"/>
          <w:szCs w:val="24"/>
          <w:lang w:eastAsia="en-US"/>
        </w:rPr>
        <w:t> User Defined Type.</w:t>
      </w:r>
      <w:bookmarkStart w:id="0" w:name="_GoBack"/>
      <w:bookmarkEnd w:id="0"/>
    </w:p>
    <w:sectPr w:rsidR="00073C31" w:rsidRPr="00F04D49">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08C" w:rsidRDefault="0072508C">
      <w:r>
        <w:separator/>
      </w:r>
    </w:p>
    <w:p w:rsidR="0072508C" w:rsidRDefault="0072508C"/>
  </w:endnote>
  <w:endnote w:type="continuationSeparator" w:id="0">
    <w:p w:rsidR="0072508C" w:rsidRDefault="0072508C">
      <w:r>
        <w:continuationSeparator/>
      </w:r>
    </w:p>
    <w:p w:rsidR="0072508C" w:rsidRDefault="00725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073C31" w:rsidRDefault="0072508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08C" w:rsidRDefault="0072508C">
      <w:r>
        <w:separator/>
      </w:r>
    </w:p>
    <w:p w:rsidR="0072508C" w:rsidRDefault="0072508C"/>
  </w:footnote>
  <w:footnote w:type="continuationSeparator" w:id="0">
    <w:p w:rsidR="0072508C" w:rsidRDefault="0072508C">
      <w:r>
        <w:continuationSeparator/>
      </w:r>
    </w:p>
    <w:p w:rsidR="0072508C" w:rsidRDefault="007250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50180C"/>
    <w:multiLevelType w:val="multilevel"/>
    <w:tmpl w:val="810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0530A"/>
    <w:multiLevelType w:val="multilevel"/>
    <w:tmpl w:val="DBF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84210"/>
    <w:multiLevelType w:val="multilevel"/>
    <w:tmpl w:val="1F1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83A1F"/>
    <w:multiLevelType w:val="multilevel"/>
    <w:tmpl w:val="D82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2ED3A02"/>
    <w:multiLevelType w:val="multilevel"/>
    <w:tmpl w:val="5F6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371F9"/>
    <w:multiLevelType w:val="multilevel"/>
    <w:tmpl w:val="3F7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7"/>
  </w:num>
  <w:num w:numId="5">
    <w:abstractNumId w:val="9"/>
  </w:num>
  <w:num w:numId="6">
    <w:abstractNumId w:val="8"/>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49"/>
    <w:rsid w:val="00073C31"/>
    <w:rsid w:val="0072508C"/>
    <w:rsid w:val="00F0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EA14"/>
  <w15:chartTrackingRefBased/>
  <w15:docId w15:val="{B1D1D81D-5D0D-374A-AA1E-9FE68C5C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F04D4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15357">
      <w:bodyDiv w:val="1"/>
      <w:marLeft w:val="0"/>
      <w:marRight w:val="0"/>
      <w:marTop w:val="0"/>
      <w:marBottom w:val="0"/>
      <w:divBdr>
        <w:top w:val="none" w:sz="0" w:space="0" w:color="auto"/>
        <w:left w:val="none" w:sz="0" w:space="0" w:color="auto"/>
        <w:bottom w:val="none" w:sz="0" w:space="0" w:color="auto"/>
        <w:right w:val="none" w:sz="0" w:space="0" w:color="auto"/>
      </w:divBdr>
      <w:divsChild>
        <w:div w:id="1889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iramtodd/Library/Containers/com.microsoft.Word/Data/Library/Application%20Support/Microsoft/Office/16.0/DTS/en-US%7bE9B8168F-7CE6-124A-903B-FEB1A1CA57A6%7d/%7b3FC9C0FF-7A29-8E41-B3BB-73C041FE14F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AND B</dc:creator>
  <cp:keywords/>
  <dc:description/>
  <cp:lastModifiedBy>H AND B</cp:lastModifiedBy>
  <cp:revision>1</cp:revision>
  <dcterms:created xsi:type="dcterms:W3CDTF">2018-10-03T03:03:00Z</dcterms:created>
  <dcterms:modified xsi:type="dcterms:W3CDTF">2018-10-03T03:04:00Z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