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3CBE" w14:textId="4C218197" w:rsidR="00AA2952" w:rsidRPr="0058645A" w:rsidRDefault="00AA2952" w:rsidP="00AA2952">
      <w:pPr>
        <w:pStyle w:val="Header"/>
        <w:jc w:val="center"/>
        <w:rPr>
          <w:sz w:val="36"/>
          <w:szCs w:val="36"/>
        </w:rPr>
      </w:pPr>
      <w:r w:rsidRPr="0058645A">
        <w:rPr>
          <w:sz w:val="36"/>
          <w:szCs w:val="36"/>
        </w:rPr>
        <w:t>Assessment of Prince 5 as a Regional Oceanographic Reference Station for Local Herring Spawning Grounds</w:t>
      </w:r>
      <w:r w:rsidR="00B3540D">
        <w:rPr>
          <w:sz w:val="36"/>
          <w:szCs w:val="36"/>
        </w:rPr>
        <w:t>;</w:t>
      </w:r>
      <w:r w:rsidRPr="0058645A">
        <w:rPr>
          <w:sz w:val="36"/>
          <w:szCs w:val="36"/>
        </w:rPr>
        <w:t xml:space="preserve"> German Bank and Scots Bay</w:t>
      </w:r>
    </w:p>
    <w:p w14:paraId="101BE8C5" w14:textId="77777777" w:rsidR="00AA2952" w:rsidRDefault="00AA2952"/>
    <w:p w14:paraId="7535A9E8" w14:textId="3A053025" w:rsidR="00F13479" w:rsidRDefault="00F13479" w:rsidP="00F13479">
      <w:pPr>
        <w:pStyle w:val="Heading2"/>
        <w:rPr>
          <w:rFonts w:eastAsia="Times New Roman"/>
        </w:rPr>
      </w:pPr>
      <w:r>
        <w:rPr>
          <w:rFonts w:eastAsia="Times New Roman"/>
        </w:rPr>
        <w:t>Abstract</w:t>
      </w:r>
    </w:p>
    <w:p w14:paraId="37A84C5E" w14:textId="77777777" w:rsidR="00151B5D" w:rsidRPr="006F4AE3" w:rsidRDefault="00151B5D" w:rsidP="00151B5D">
      <w:r w:rsidRPr="006F4AE3">
        <w:t>Prince5 appears to be an appropriate reference for regional temperature variability, particularly for Scots Bay, but it does not adequately represent salinity, density, or stratification dynamics at German Bank or Scots Bay.</w:t>
      </w:r>
    </w:p>
    <w:p w14:paraId="3CC39E9A" w14:textId="77777777" w:rsidR="00151B5D" w:rsidRPr="00151B5D" w:rsidRDefault="00151B5D" w:rsidP="00151B5D"/>
    <w:p w14:paraId="5AC2666F" w14:textId="3D4E057F" w:rsidR="00F13479" w:rsidRDefault="00F13479" w:rsidP="00F13479">
      <w:pPr>
        <w:pStyle w:val="Heading2"/>
        <w:rPr>
          <w:rFonts w:eastAsia="Times New Roman"/>
          <w:sz w:val="36"/>
          <w:szCs w:val="36"/>
        </w:rPr>
      </w:pPr>
      <w:r>
        <w:rPr>
          <w:rFonts w:eastAsia="Times New Roman"/>
        </w:rPr>
        <w:t>Introduction</w:t>
      </w:r>
    </w:p>
    <w:p w14:paraId="57B75D74" w14:textId="77777777" w:rsidR="0049732A" w:rsidRDefault="0049732A" w:rsidP="0049732A">
      <w:pPr>
        <w:ind w:firstLine="720"/>
      </w:pPr>
      <w:r w:rsidRPr="0049732A">
        <w:t>Within the Bay of Fundy and southwest Nova Scotia, Prince 5 is the only long-term oceanographic monitoring station with regular observations. Located on the northern side of the mouth of the Bay of Fundy, east of Campobello Island and north of Grand Manan Island in approximately 100 m of water, the station has served as a key site for oceanographic monitoring for over a century (Page, Ringuette and Hanke, 2000). Named in honour of the pioneering Canadian scientist Edward E. Prince, oceanographic observations at Prince 5 date back to at least 1913, making it one of the longest-running marine monitoring programs in Canada (Page, Ringuette and Hanke, 2000). Near-monthly vertical profiles of temperature and salinity have been collected almost continuously since 1921, providing an exceptional record of environmental variability in the region (Page, Ringuette and Hanke, 2000). In recent decades, sampling frequency has increased, with hydrographic profiles often collected at approximately two-week intervals.</w:t>
      </w:r>
    </w:p>
    <w:p w14:paraId="0CEBF104" w14:textId="0FD3581A" w:rsidR="00AA2952" w:rsidRDefault="00000000">
      <w:pPr>
        <w:ind w:firstLine="720"/>
      </w:pPr>
      <w:r>
        <w:t xml:space="preserve">The Southwest Nova Scotia/Bay of Fundy herring stock has two </w:t>
      </w:r>
      <w:r w:rsidR="00F13479" w:rsidRPr="00F13479">
        <w:t>primary</w:t>
      </w:r>
      <w:r>
        <w:t xml:space="preserve"> spawning grounds within the region</w:t>
      </w:r>
      <w:r w:rsidR="00F13479" w:rsidRPr="00F13479">
        <w:t>:</w:t>
      </w:r>
      <w:r>
        <w:t xml:space="preserve"> Scots Bay</w:t>
      </w:r>
      <w:r w:rsidR="00F13479" w:rsidRPr="00F13479">
        <w:t>, located</w:t>
      </w:r>
      <w:r>
        <w:t xml:space="preserve"> in the inner Bay of Fundy</w:t>
      </w:r>
      <w:r w:rsidR="00F13479" w:rsidRPr="00F13479">
        <w:t>,</w:t>
      </w:r>
      <w:r>
        <w:t xml:space="preserve"> and German Bank, </w:t>
      </w:r>
      <w:r w:rsidR="00F13479" w:rsidRPr="00F13479">
        <w:t xml:space="preserve">located </w:t>
      </w:r>
      <w:r>
        <w:t xml:space="preserve">southeast of Yarmouth, Nova Scotia. </w:t>
      </w:r>
      <w:r w:rsidR="00F13479" w:rsidRPr="00F13479">
        <w:t>These spawning grounds range in depth from approximately 60 to 80 m. Although they</w:t>
      </w:r>
      <w:r>
        <w:t xml:space="preserve"> are not </w:t>
      </w:r>
      <w:r w:rsidR="00F13479" w:rsidRPr="00F13479">
        <w:t xml:space="preserve">sampled </w:t>
      </w:r>
      <w:r>
        <w:t>oceanographically on a regular basis by the Department of Fisheries and Oceans</w:t>
      </w:r>
      <w:r w:rsidR="00F13479" w:rsidRPr="00F13479">
        <w:t>, they</w:t>
      </w:r>
      <w:r>
        <w:t xml:space="preserve"> are covered sporadically </w:t>
      </w:r>
      <w:r w:rsidR="00F13479" w:rsidRPr="00F13479">
        <w:t xml:space="preserve">during </w:t>
      </w:r>
      <w:r>
        <w:t xml:space="preserve">annual Research Vessel (RV) trawl surveys conducted </w:t>
      </w:r>
      <w:r w:rsidR="00F13479" w:rsidRPr="00F13479">
        <w:t xml:space="preserve">in </w:t>
      </w:r>
      <w:r>
        <w:t>the Bay of Fundy</w:t>
      </w:r>
      <w:r w:rsidR="00F13479" w:rsidRPr="00F13479">
        <w:t xml:space="preserve"> and </w:t>
      </w:r>
      <w:r>
        <w:t>Scotian Shelf</w:t>
      </w:r>
      <w:r w:rsidR="00F13479" w:rsidRPr="00F13479">
        <w:t xml:space="preserve"> during summer.</w:t>
      </w:r>
      <w:r>
        <w:t xml:space="preserve"> Since 2017</w:t>
      </w:r>
      <w:r w:rsidR="00F13479" w:rsidRPr="00F13479">
        <w:t>,</w:t>
      </w:r>
      <w:r>
        <w:t xml:space="preserve"> however, the Herring Science Council</w:t>
      </w:r>
      <w:r w:rsidR="00F13479" w:rsidRPr="00F13479">
        <w:t xml:space="preserve">, </w:t>
      </w:r>
      <w:r>
        <w:t>an industry</w:t>
      </w:r>
      <w:r w:rsidR="00F13479" w:rsidRPr="00F13479">
        <w:t>-</w:t>
      </w:r>
      <w:r>
        <w:t xml:space="preserve">funded science </w:t>
      </w:r>
      <w:r w:rsidR="00FB4E56">
        <w:t>society</w:t>
      </w:r>
      <w:r>
        <w:t xml:space="preserve"> operated by</w:t>
      </w:r>
      <w:r w:rsidR="00FB4E56">
        <w:t xml:space="preserve"> the mobile herring fleet</w:t>
      </w:r>
      <w:r w:rsidR="00F13479" w:rsidRPr="00F13479">
        <w:t>,</w:t>
      </w:r>
      <w:r>
        <w:t xml:space="preserve"> has </w:t>
      </w:r>
      <w:r w:rsidR="00F13479" w:rsidRPr="00F13479">
        <w:t xml:space="preserve">collected </w:t>
      </w:r>
      <w:r>
        <w:t>oceanographic data directly on the spawning grounds</w:t>
      </w:r>
      <w:r w:rsidR="00F13479" w:rsidRPr="00F13479">
        <w:t xml:space="preserve"> at approximately biweekly intervals</w:t>
      </w:r>
      <w:r>
        <w:t xml:space="preserve"> during their respective spawning seasons. </w:t>
      </w:r>
      <w:r w:rsidR="00F13479" w:rsidRPr="00F13479">
        <w:t>Sampling in</w:t>
      </w:r>
      <w:r>
        <w:t xml:space="preserve"> Scots Bay</w:t>
      </w:r>
      <w:r w:rsidR="00F13479" w:rsidRPr="00F13479">
        <w:t xml:space="preserve"> </w:t>
      </w:r>
      <w:r>
        <w:t>has generally occurred from June</w:t>
      </w:r>
      <w:r w:rsidR="00F13479" w:rsidRPr="00F13479">
        <w:t xml:space="preserve"> to </w:t>
      </w:r>
      <w:r>
        <w:t xml:space="preserve">September, </w:t>
      </w:r>
      <w:r w:rsidR="00F13479" w:rsidRPr="00F13479">
        <w:t xml:space="preserve">while sampling on </w:t>
      </w:r>
      <w:r>
        <w:t xml:space="preserve">German Bank </w:t>
      </w:r>
      <w:r w:rsidR="00F13479" w:rsidRPr="00F13479">
        <w:t xml:space="preserve">has generally occurred </w:t>
      </w:r>
      <w:r>
        <w:t xml:space="preserve">from August to November. </w:t>
      </w:r>
      <w:r w:rsidR="00F13479" w:rsidRPr="00F13479">
        <w:t>Combining</w:t>
      </w:r>
      <w:r>
        <w:t xml:space="preserve"> RV survey</w:t>
      </w:r>
      <w:r w:rsidR="00F13479" w:rsidRPr="00F13479">
        <w:t xml:space="preserve"> data</w:t>
      </w:r>
      <w:r>
        <w:t xml:space="preserve"> with Herring Science Council </w:t>
      </w:r>
      <w:r w:rsidR="00F13479" w:rsidRPr="00F13479">
        <w:t>observations provides</w:t>
      </w:r>
      <w:r>
        <w:t xml:space="preserve"> </w:t>
      </w:r>
      <w:r>
        <w:lastRenderedPageBreak/>
        <w:t>an opportunity to evaluate Prince 5 as a reference station for the Scots Bay and German Bank</w:t>
      </w:r>
      <w:r w:rsidR="00F13479" w:rsidRPr="00F13479">
        <w:t xml:space="preserve"> herring spawning grounds, using</w:t>
      </w:r>
      <w:r>
        <w:t xml:space="preserve"> average monthly means for temperature, salinity, temperature stratification, density</w:t>
      </w:r>
      <w:r w:rsidR="00F13479" w:rsidRPr="00F13479">
        <w:t>,</w:t>
      </w:r>
      <w:r>
        <w:t xml:space="preserve"> and density stratification.</w:t>
      </w:r>
    </w:p>
    <w:p w14:paraId="3F42751F" w14:textId="77777777" w:rsidR="00F13479" w:rsidRDefault="00F13479" w:rsidP="00B96C1F">
      <w:pPr>
        <w:pStyle w:val="Subtitle"/>
        <w:rPr>
          <w:rFonts w:eastAsia="Times New Roman"/>
          <w:sz w:val="36"/>
          <w:szCs w:val="36"/>
        </w:rPr>
      </w:pPr>
      <w:r>
        <w:rPr>
          <w:rFonts w:eastAsia="Times New Roman"/>
        </w:rPr>
        <w:t>Study area and oceanographic setting</w:t>
      </w:r>
    </w:p>
    <w:p w14:paraId="7393EFC3" w14:textId="77777777" w:rsidR="00F13479" w:rsidRDefault="00F13479" w:rsidP="00F13479">
      <w:r>
        <w:t>Southwest Nova Scotia (SWNS) and the Bay of Fundy (BoF) are part of the Gulf of Maine system (Figure 1) and are characterized by strong tides and associated currents, especially in the inner Bay of Fundy where tidal amplitudes are among the largest globally. Current speeds are typically on the order of ~1 m/s in SWNS and 1–1.5 m/s at the entrance of the Minas Channel, increasing to as high as ~4 m/s in the narrows near Cape Split (Greenberg, 1982). Strong tidal mixing produces predominantly well-mixed conditions in much of the Bay (including areas around Grand Manan, Brier Island, and SWNS), while stratification is seasonally reduced during late fall through early spring as surface heating weakens and meteorological forcing increases (Greenberg, 1982). Mean circulation in the upper Bay is largely tidally driven, whereas freshwater runoff plays a larger role in the lower Bay; wave energy in the Bay is typically low (Greenberg, 1982).</w:t>
      </w:r>
    </w:p>
    <w:p w14:paraId="17C871DD" w14:textId="77777777" w:rsidR="00C07834" w:rsidRDefault="00C07834" w:rsidP="00F13479"/>
    <w:p w14:paraId="4FA5004E" w14:textId="73AD504D" w:rsidR="00372698" w:rsidRDefault="00372698" w:rsidP="00372698">
      <w:pPr>
        <w:pStyle w:val="Heading2"/>
        <w:rPr>
          <w:rFonts w:eastAsia="Times New Roman"/>
          <w:sz w:val="36"/>
          <w:szCs w:val="36"/>
        </w:rPr>
      </w:pPr>
      <w:r>
        <w:rPr>
          <w:rFonts w:eastAsia="Times New Roman"/>
        </w:rPr>
        <w:t>Methods</w:t>
      </w:r>
    </w:p>
    <w:p w14:paraId="5FE15D3F" w14:textId="4B140B99" w:rsidR="000155E1" w:rsidRDefault="000155E1" w:rsidP="000155E1">
      <w:r>
        <w:t>Typically, s</w:t>
      </w:r>
      <w:r w:rsidRPr="00384DC2">
        <w:t xml:space="preserve">amples </w:t>
      </w:r>
      <w:r>
        <w:t>were</w:t>
      </w:r>
      <w:r w:rsidRPr="00384DC2">
        <w:t xml:space="preserve"> obtained every two weeks during the</w:t>
      </w:r>
      <w:r>
        <w:t>ir respective</w:t>
      </w:r>
      <w:r w:rsidRPr="00384DC2">
        <w:t xml:space="preserve"> spawning season</w:t>
      </w:r>
      <w:r>
        <w:t>s,</w:t>
      </w:r>
      <w:r w:rsidR="00012F28">
        <w:t xml:space="preserve"> </w:t>
      </w:r>
      <w:r>
        <w:t>which for Scots Bay started in May or June into September and for German Bank from August to October/November. Depth of the cast varied, with minimum acceptable cast depth of 30m, collecting a continuous profile of the water column. Data from each cast were downloaded from the device to a laptop using the program CastAway CTD v1.5 from Sontek. Each file was imported as a .csv and brought into R for analyses.</w:t>
      </w:r>
    </w:p>
    <w:p w14:paraId="00F2BDC1" w14:textId="081E18F7" w:rsidR="00602D95" w:rsidRDefault="001B5B14" w:rsidP="00117D1A">
      <w:r>
        <w:t xml:space="preserve">Data for the Prince 5 station were downloaded from </w:t>
      </w:r>
      <w:r w:rsidR="00C17CD1">
        <w:t xml:space="preserve">the Canadian </w:t>
      </w:r>
      <w:r w:rsidR="00251D3C">
        <w:t>Atlantic Shelf Temperature-Salinity (CASTS)</w:t>
      </w:r>
      <w:r w:rsidR="00EB3120">
        <w:t xml:space="preserve"> </w:t>
      </w:r>
      <w:r w:rsidR="00117D1A">
        <w:t>website (Coyne et al., 2025)</w:t>
      </w:r>
      <w:r w:rsidR="006F1205">
        <w:t xml:space="preserve"> and </w:t>
      </w:r>
      <w:r w:rsidR="00AB188A">
        <w:t>CIOOS Atlantic</w:t>
      </w:r>
      <w:r w:rsidR="00EB3120" w:rsidRPr="00EB3120">
        <w:t>.</w:t>
      </w:r>
      <w:r w:rsidR="00962DB5">
        <w:t xml:space="preserve"> </w:t>
      </w:r>
      <w:r w:rsidR="00FD304B">
        <w:t>From CASTS, t</w:t>
      </w:r>
      <w:r w:rsidR="0037333E">
        <w:t>he CASTS_2024 folder was selected, and V2.</w:t>
      </w:r>
      <w:r w:rsidR="00561C07">
        <w:t xml:space="preserve"> The cast measurements are bin averaged</w:t>
      </w:r>
      <w:r w:rsidR="00B004EC">
        <w:t xml:space="preserve"> for each meter</w:t>
      </w:r>
      <w:r w:rsidR="00561C07">
        <w:t>.</w:t>
      </w:r>
      <w:r w:rsidR="0037333E">
        <w:t xml:space="preserve"> The years 2017 to 202</w:t>
      </w:r>
      <w:r w:rsidR="00C92516">
        <w:t>4</w:t>
      </w:r>
      <w:r w:rsidR="0037333E">
        <w:t xml:space="preserve"> were downloaded as .nc files and brought into R. </w:t>
      </w:r>
    </w:p>
    <w:p w14:paraId="3C9CB700" w14:textId="77777777" w:rsidR="001B5B14" w:rsidRDefault="001B5B14"/>
    <w:p w14:paraId="7F62B89A" w14:textId="660E2F79" w:rsidR="00BD0C53" w:rsidRDefault="00BD0C53" w:rsidP="00BD0C53">
      <w:pPr>
        <w:pStyle w:val="Heading2"/>
        <w:rPr>
          <w:rFonts w:eastAsia="Times New Roman"/>
          <w:sz w:val="36"/>
          <w:szCs w:val="36"/>
        </w:rPr>
      </w:pPr>
      <w:r>
        <w:rPr>
          <w:rFonts w:eastAsia="Times New Roman"/>
        </w:rPr>
        <w:t>Results</w:t>
      </w:r>
    </w:p>
    <w:p w14:paraId="29996FA6" w14:textId="5DF9A121" w:rsidR="00F93777" w:rsidRDefault="00E30270">
      <w:r>
        <w:t>Modern comparison results:</w:t>
      </w:r>
    </w:p>
    <w:p w14:paraId="33713C45" w14:textId="77777777" w:rsidR="00E30270" w:rsidRDefault="00E30270">
      <w:r>
        <w:lastRenderedPageBreak/>
        <w:t>Best evidence for Prince 5 as a reference station is for temperature. Scots Bay temperature tracks with Prince 5 extremely well. German Bank also tracks reasonably well but with more scatter.</w:t>
      </w:r>
    </w:p>
    <w:p w14:paraId="0393EA41" w14:textId="77777777" w:rsidR="00E30270" w:rsidRDefault="00E30270">
      <w:r>
        <w:t>German Bank is on average, 0.301°C cooler than Prince 5. Scots Bay is on average 0.250 warmer than Prince 5.</w:t>
      </w:r>
    </w:p>
    <w:p w14:paraId="21A59DE2" w14:textId="77777777" w:rsidR="00E30270" w:rsidRDefault="00E30270">
      <w:r>
        <w:t xml:space="preserve">Prince 5 is not a good reference for salinity or density. </w:t>
      </w:r>
    </w:p>
    <w:p w14:paraId="3BC43C24" w14:textId="38FA79BD" w:rsidR="00E30270" w:rsidRDefault="00E30270">
      <w:r>
        <w:t xml:space="preserve">For temperature stratification, German Bank is more stratified by Prince 5 by 0.86°C on average. For Scots Bay the mean difference is small but tracking is weak. Prince 5 does not track Scots Bay temperature stratification well over time. </w:t>
      </w:r>
    </w:p>
    <w:p w14:paraId="038429B8" w14:textId="1EA85DA0" w:rsidR="00E30270" w:rsidRDefault="00E30270">
      <w:r>
        <w:t xml:space="preserve">For density stratification, Prince 5 does not look like a good reference station, especially for Scots Bay. </w:t>
      </w:r>
    </w:p>
    <w:p w14:paraId="55769B75" w14:textId="77777777" w:rsidR="00E30270" w:rsidRDefault="00E30270"/>
    <w:p w14:paraId="68D45D59" w14:textId="77777777" w:rsidR="00E30270" w:rsidRPr="00E30270" w:rsidRDefault="00E30270" w:rsidP="00E30270">
      <w:r w:rsidRPr="00E30270">
        <w:t>Paired year-month comparisons indicated that Prince5 tracked temperature variability at the comparison grounds reasonably well, particularly for Scots Bay. Monthly mean temperature at Scots Bay was strongly correlated with Prince5 values (r = 0.938, n = 27), with a small positive mean difference of 0.25°C and an RMSE of 0.74°C. German Bank temperature was also positively correlated with Prince5 temperature (r = 0.745, n = 22), although with greater error (RMSE = 1.14°C). In contrast, salinity and density showed little to no correlation between Prince5 and either comparison ground, suggesting that Prince5 does not adequately represent spatial variability in salinity-driven oceanographic conditions. Stratification metrics were also weakly correlated among grounds, indicating that local vertical structure differs among areas. Overall, Prince5 appears suitable as a reference station for broad temperature variability, especially for Scots Bay, but not for salinity, density, or stratification.</w:t>
      </w:r>
    </w:p>
    <w:p w14:paraId="4B6B9E88" w14:textId="5CB5D9E8" w:rsidR="00E30270" w:rsidRDefault="00E30270"/>
    <w:p w14:paraId="6DFD109A" w14:textId="77777777" w:rsidR="006F4AE3" w:rsidRDefault="006F4AE3"/>
    <w:p w14:paraId="1A7670FC" w14:textId="77777777" w:rsidR="00111598" w:rsidRDefault="00111598" w:rsidP="00111598">
      <w:r w:rsidRPr="00111598">
        <w:t>Monthly mean temperature at Prince5 was strongly correlated with temperatures at Scots Bay (r = 0.94) and German Bank (r = 0.75), suggesting that Prince5 provides a useful indicator of regional thermal variability. In contrast, salinity, density, and stratification metrics exhibited weak correlations among grounds, indicating that Prince5 does not adequately represent spatial variability in these oceanographic properties.</w:t>
      </w:r>
    </w:p>
    <w:p w14:paraId="3A69BAD9" w14:textId="0B5B7BB2" w:rsidR="00372698" w:rsidRDefault="00372698" w:rsidP="00372698">
      <w:pPr>
        <w:pStyle w:val="Heading2"/>
        <w:rPr>
          <w:rFonts w:eastAsia="Times New Roman"/>
          <w:sz w:val="36"/>
          <w:szCs w:val="36"/>
        </w:rPr>
      </w:pPr>
      <w:r>
        <w:rPr>
          <w:rFonts w:eastAsia="Times New Roman"/>
        </w:rPr>
        <w:lastRenderedPageBreak/>
        <w:t>Discussion</w:t>
      </w:r>
    </w:p>
    <w:p w14:paraId="421F00AD" w14:textId="2C502256" w:rsidR="00372698" w:rsidRPr="00117D1A" w:rsidRDefault="00117D1A" w:rsidP="00E94DBA">
      <w:pPr>
        <w:pStyle w:val="Heading2"/>
        <w:rPr>
          <w:rFonts w:eastAsia="Times New Roman"/>
          <w:sz w:val="36"/>
          <w:szCs w:val="36"/>
        </w:rPr>
      </w:pPr>
      <w:r>
        <w:rPr>
          <w:rFonts w:eastAsia="Times New Roman"/>
        </w:rPr>
        <w:t>References</w:t>
      </w:r>
    </w:p>
    <w:p w14:paraId="6689A2DD" w14:textId="659B5829" w:rsidR="00117D1A" w:rsidRPr="00117D1A" w:rsidRDefault="00117D1A" w:rsidP="00117D1A">
      <w:r w:rsidRPr="00117D1A">
        <w:t>Coyne, J., Cyr, F., Donnet, S., Galbraith, P., Geoffroy, M., Hebert, D., Layton, C., Ratsimandresy, A., Snook, S., Soontiens, N., Walkusz, W., del Rio Iglesias, J., Tel, E. (2025). Canadian Atlantic Shelf Temperature-Salinity (CASTS).</w:t>
      </w:r>
      <w:r w:rsidR="00D87565">
        <w:t xml:space="preserve"> Version </w:t>
      </w:r>
      <w:r w:rsidR="00E3679F">
        <w:t>2024</w:t>
      </w:r>
      <w:r w:rsidRPr="00117D1A">
        <w:t xml:space="preserve"> Federated Research Data Repository. https://doi.org/10.20383/103.01462</w:t>
      </w:r>
    </w:p>
    <w:p w14:paraId="10DFDEB7" w14:textId="58F4CB10" w:rsidR="00E94DBA" w:rsidRDefault="00E94DBA" w:rsidP="00E94DBA">
      <w:pPr>
        <w:pStyle w:val="Heading2"/>
        <w:rPr>
          <w:rFonts w:eastAsia="Times New Roman"/>
        </w:rPr>
      </w:pPr>
      <w:r>
        <w:rPr>
          <w:rFonts w:eastAsia="Times New Roman"/>
        </w:rPr>
        <w:t>Figures</w:t>
      </w:r>
    </w:p>
    <w:p w14:paraId="2DEAC1FB" w14:textId="6E46F954" w:rsidR="006E5FE9" w:rsidRDefault="009E3217" w:rsidP="006E5FE9">
      <w:r>
        <w:rPr>
          <w:noProof/>
        </w:rPr>
        <w:drawing>
          <wp:inline distT="0" distB="0" distL="0" distR="0" wp14:anchorId="33D808A6" wp14:editId="7F71E835">
            <wp:extent cx="5943600" cy="4384851"/>
            <wp:effectExtent l="0" t="0" r="0" b="0"/>
            <wp:docPr id="814544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4148" name="Picture 814544148"/>
                    <pic:cNvPicPr/>
                  </pic:nvPicPr>
                  <pic:blipFill rotWithShape="1">
                    <a:blip r:embed="rId8">
                      <a:extLst>
                        <a:ext uri="{28A0092B-C50C-407E-A947-70E740481C1C}">
                          <a14:useLocalDpi xmlns:a14="http://schemas.microsoft.com/office/drawing/2010/main" val="0"/>
                        </a:ext>
                      </a:extLst>
                    </a:blip>
                    <a:srcRect t="4372"/>
                    <a:stretch>
                      <a:fillRect/>
                    </a:stretch>
                  </pic:blipFill>
                  <pic:spPr bwMode="auto">
                    <a:xfrm>
                      <a:off x="0" y="0"/>
                      <a:ext cx="5943600" cy="4384851"/>
                    </a:xfrm>
                    <a:prstGeom prst="rect">
                      <a:avLst/>
                    </a:prstGeom>
                    <a:ln>
                      <a:noFill/>
                    </a:ln>
                    <a:extLst>
                      <a:ext uri="{53640926-AAD7-44D8-BBD7-CCE9431645EC}">
                        <a14:shadowObscured xmlns:a14="http://schemas.microsoft.com/office/drawing/2010/main"/>
                      </a:ext>
                    </a:extLst>
                  </pic:spPr>
                </pic:pic>
              </a:graphicData>
            </a:graphic>
          </wp:inline>
        </w:drawing>
      </w:r>
    </w:p>
    <w:p w14:paraId="05462F30" w14:textId="0B5E73F1" w:rsidR="009C7031" w:rsidRPr="006E5FE9" w:rsidRDefault="009C7031" w:rsidP="006E5FE9">
      <w:r>
        <w:t xml:space="preserve">Figure X. </w:t>
      </w:r>
      <w:r w:rsidR="00E60E36">
        <w:t xml:space="preserve"> Geographic locations of the three regions for oceanographic comparison</w:t>
      </w:r>
      <w:r w:rsidR="008F40C9">
        <w:t xml:space="preserve">; Prince 5, Scots Bay and German Bank/Seal Island. The cast locations in blue were obtained by the Herring Science Council and all others were obtained by DFO. </w:t>
      </w:r>
    </w:p>
    <w:p w14:paraId="62260DA8" w14:textId="77777777" w:rsidR="00385401" w:rsidRDefault="00385401" w:rsidP="00111598"/>
    <w:p w14:paraId="77671F2A" w14:textId="4178A03E" w:rsidR="00385401" w:rsidRDefault="00385401" w:rsidP="00111598">
      <w:r>
        <w:rPr>
          <w:noProof/>
        </w:rPr>
        <w:lastRenderedPageBreak/>
        <w:drawing>
          <wp:inline distT="0" distB="0" distL="0" distR="0" wp14:anchorId="2BF83685" wp14:editId="004958C7">
            <wp:extent cx="4540250" cy="3667299"/>
            <wp:effectExtent l="0" t="0" r="0" b="9525"/>
            <wp:docPr id="99400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6367"/>
                    <a:stretch>
                      <a:fillRect/>
                    </a:stretch>
                  </pic:blipFill>
                  <pic:spPr bwMode="auto">
                    <a:xfrm>
                      <a:off x="0" y="0"/>
                      <a:ext cx="4540250" cy="3667299"/>
                    </a:xfrm>
                    <a:prstGeom prst="rect">
                      <a:avLst/>
                    </a:prstGeom>
                    <a:noFill/>
                    <a:ln>
                      <a:noFill/>
                    </a:ln>
                    <a:extLst>
                      <a:ext uri="{53640926-AAD7-44D8-BBD7-CCE9431645EC}">
                        <a14:shadowObscured xmlns:a14="http://schemas.microsoft.com/office/drawing/2010/main"/>
                      </a:ext>
                    </a:extLst>
                  </pic:spPr>
                </pic:pic>
              </a:graphicData>
            </a:graphic>
          </wp:inline>
        </w:drawing>
      </w:r>
    </w:p>
    <w:p w14:paraId="05B41E96" w14:textId="325E76B9" w:rsidR="00B676EE" w:rsidRDefault="00B676EE" w:rsidP="00111598">
      <w:r>
        <w:t xml:space="preserve">Figure </w:t>
      </w:r>
      <w:r w:rsidR="00F872BA">
        <w:t>X. Monthly sampling error by ground</w:t>
      </w:r>
      <w:r w:rsidR="005A5AA3">
        <w:t xml:space="preserve"> and year, with size of circle and colour indicative of sample size.</w:t>
      </w:r>
    </w:p>
    <w:p w14:paraId="04244B5A" w14:textId="32B7AD68" w:rsidR="00B11694" w:rsidRDefault="00B11694" w:rsidP="00111598">
      <w:r>
        <w:rPr>
          <w:noProof/>
        </w:rPr>
        <w:drawing>
          <wp:inline distT="0" distB="0" distL="0" distR="0" wp14:anchorId="4B84409A" wp14:editId="6908FFD7">
            <wp:extent cx="4540250" cy="3677078"/>
            <wp:effectExtent l="0" t="0" r="0" b="0"/>
            <wp:docPr id="1927443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6117"/>
                    <a:stretch>
                      <a:fillRect/>
                    </a:stretch>
                  </pic:blipFill>
                  <pic:spPr bwMode="auto">
                    <a:xfrm>
                      <a:off x="0" y="0"/>
                      <a:ext cx="4540250" cy="3677078"/>
                    </a:xfrm>
                    <a:prstGeom prst="rect">
                      <a:avLst/>
                    </a:prstGeom>
                    <a:noFill/>
                    <a:ln>
                      <a:noFill/>
                    </a:ln>
                    <a:extLst>
                      <a:ext uri="{53640926-AAD7-44D8-BBD7-CCE9431645EC}">
                        <a14:shadowObscured xmlns:a14="http://schemas.microsoft.com/office/drawing/2010/main"/>
                      </a:ext>
                    </a:extLst>
                  </pic:spPr>
                </pic:pic>
              </a:graphicData>
            </a:graphic>
          </wp:inline>
        </w:drawing>
      </w:r>
    </w:p>
    <w:p w14:paraId="253C9373" w14:textId="34E5B3DA" w:rsidR="00B77CBE" w:rsidRDefault="00B77CBE" w:rsidP="00B77CBE">
      <w:r>
        <w:lastRenderedPageBreak/>
        <w:t xml:space="preserve">Figure X. Monthly mean temperature </w:t>
      </w:r>
      <w:r w:rsidR="001675E0">
        <w:t>per ground grouped by year</w:t>
      </w:r>
      <w:r w:rsidR="005E1718">
        <w:t>.</w:t>
      </w:r>
    </w:p>
    <w:p w14:paraId="070CD807" w14:textId="77777777" w:rsidR="00B77CBE" w:rsidRDefault="00B77CBE" w:rsidP="00111598"/>
    <w:p w14:paraId="5B765D41" w14:textId="1ABC1C29" w:rsidR="00B11694" w:rsidRDefault="00385401" w:rsidP="00111598">
      <w:pPr>
        <w:rPr>
          <w:noProof/>
        </w:rPr>
      </w:pPr>
      <w:r>
        <w:rPr>
          <w:noProof/>
        </w:rPr>
        <w:lastRenderedPageBreak/>
        <w:drawing>
          <wp:inline distT="0" distB="0" distL="0" distR="0" wp14:anchorId="69960CA0" wp14:editId="592907F5">
            <wp:extent cx="4540250" cy="3916680"/>
            <wp:effectExtent l="0" t="0" r="0" b="7620"/>
            <wp:docPr id="796967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0250" cy="3916680"/>
                    </a:xfrm>
                    <a:prstGeom prst="rect">
                      <a:avLst/>
                    </a:prstGeom>
                    <a:noFill/>
                    <a:ln>
                      <a:noFill/>
                    </a:ln>
                  </pic:spPr>
                </pic:pic>
              </a:graphicData>
            </a:graphic>
          </wp:inline>
        </w:drawing>
      </w:r>
      <w:r>
        <w:rPr>
          <w:noProof/>
        </w:rPr>
        <w:drawing>
          <wp:inline distT="0" distB="0" distL="0" distR="0" wp14:anchorId="2A601B93" wp14:editId="7E38F038">
            <wp:extent cx="4540250" cy="3916680"/>
            <wp:effectExtent l="0" t="0" r="0" b="7620"/>
            <wp:docPr id="955590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0250" cy="3916680"/>
                    </a:xfrm>
                    <a:prstGeom prst="rect">
                      <a:avLst/>
                    </a:prstGeom>
                    <a:noFill/>
                    <a:ln>
                      <a:noFill/>
                    </a:ln>
                  </pic:spPr>
                </pic:pic>
              </a:graphicData>
            </a:graphic>
          </wp:inline>
        </w:drawing>
      </w:r>
      <w:r w:rsidR="00B11694" w:rsidRPr="00B11694">
        <w:rPr>
          <w:noProof/>
        </w:rPr>
        <w:t xml:space="preserve"> </w:t>
      </w:r>
    </w:p>
    <w:p w14:paraId="0EE0D1A7" w14:textId="66E47C06" w:rsidR="00385401" w:rsidRPr="00111598" w:rsidRDefault="00B11694" w:rsidP="00111598">
      <w:r>
        <w:rPr>
          <w:noProof/>
        </w:rPr>
        <w:lastRenderedPageBreak/>
        <w:drawing>
          <wp:inline distT="0" distB="0" distL="0" distR="0" wp14:anchorId="6676E438" wp14:editId="7A1E23B6">
            <wp:extent cx="4540250" cy="3916680"/>
            <wp:effectExtent l="0" t="0" r="0" b="7620"/>
            <wp:docPr id="1967145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0250" cy="3916680"/>
                    </a:xfrm>
                    <a:prstGeom prst="rect">
                      <a:avLst/>
                    </a:prstGeom>
                    <a:noFill/>
                    <a:ln>
                      <a:noFill/>
                    </a:ln>
                  </pic:spPr>
                </pic:pic>
              </a:graphicData>
            </a:graphic>
          </wp:inline>
        </w:drawing>
      </w:r>
      <w:r>
        <w:rPr>
          <w:noProof/>
        </w:rPr>
        <w:drawing>
          <wp:inline distT="0" distB="0" distL="0" distR="0" wp14:anchorId="0778A830" wp14:editId="3AD8E2CC">
            <wp:extent cx="4540250" cy="3916680"/>
            <wp:effectExtent l="0" t="0" r="0" b="7620"/>
            <wp:docPr id="1856588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0250" cy="3916680"/>
                    </a:xfrm>
                    <a:prstGeom prst="rect">
                      <a:avLst/>
                    </a:prstGeom>
                    <a:noFill/>
                    <a:ln>
                      <a:noFill/>
                    </a:ln>
                  </pic:spPr>
                </pic:pic>
              </a:graphicData>
            </a:graphic>
          </wp:inline>
        </w:drawing>
      </w:r>
    </w:p>
    <w:p w14:paraId="1F76DC61" w14:textId="67A32B2D" w:rsidR="00111598" w:rsidRDefault="00AA2952">
      <w:r>
        <w:rPr>
          <w:noProof/>
        </w:rPr>
        <w:lastRenderedPageBreak/>
        <w:drawing>
          <wp:inline distT="0" distB="0" distL="0" distR="0" wp14:anchorId="158EE658" wp14:editId="5EC48B2F">
            <wp:extent cx="5941060" cy="4244340"/>
            <wp:effectExtent l="0" t="0" r="2540" b="3810"/>
            <wp:docPr id="24213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060" cy="4244340"/>
                    </a:xfrm>
                    <a:prstGeom prst="rect">
                      <a:avLst/>
                    </a:prstGeom>
                    <a:noFill/>
                    <a:ln>
                      <a:noFill/>
                    </a:ln>
                  </pic:spPr>
                </pic:pic>
              </a:graphicData>
            </a:graphic>
          </wp:inline>
        </w:drawing>
      </w:r>
    </w:p>
    <w:p w14:paraId="0031F6B4" w14:textId="6D349822" w:rsidR="006E3CBF" w:rsidRDefault="006E3CBF">
      <w:r>
        <w:rPr>
          <w:noProof/>
        </w:rPr>
        <w:drawing>
          <wp:inline distT="0" distB="0" distL="0" distR="0" wp14:anchorId="15BD4872" wp14:editId="2D5DB371">
            <wp:extent cx="5486400" cy="3200400"/>
            <wp:effectExtent l="0" t="0" r="19050" b="38100"/>
            <wp:docPr id="204663831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650B4A3" w14:textId="05931DB7" w:rsidR="00E94DBA" w:rsidRDefault="00E94DBA" w:rsidP="00E94DBA">
      <w:pPr>
        <w:pStyle w:val="Heading2"/>
        <w:rPr>
          <w:rFonts w:eastAsia="Times New Roman"/>
          <w:sz w:val="36"/>
          <w:szCs w:val="36"/>
        </w:rPr>
      </w:pPr>
      <w:r>
        <w:rPr>
          <w:rFonts w:eastAsia="Times New Roman"/>
        </w:rPr>
        <w:lastRenderedPageBreak/>
        <w:t>Tables</w:t>
      </w:r>
    </w:p>
    <w:p w14:paraId="7C4D8E15" w14:textId="77777777" w:rsidR="00E94DBA" w:rsidRDefault="00E94DBA"/>
    <w:p w14:paraId="7E5DF6B4" w14:textId="4835A716" w:rsidR="00EB4EBB" w:rsidRDefault="00EB4EBB">
      <w:r>
        <w:t xml:space="preserve">Table X. </w:t>
      </w:r>
    </w:p>
    <w:tbl>
      <w:tblPr>
        <w:tblW w:w="8635" w:type="dxa"/>
        <w:tblLook w:val="04A0" w:firstRow="1" w:lastRow="0" w:firstColumn="1" w:lastColumn="0" w:noHBand="0" w:noVBand="1"/>
      </w:tblPr>
      <w:tblGrid>
        <w:gridCol w:w="2694"/>
        <w:gridCol w:w="1605"/>
        <w:gridCol w:w="908"/>
        <w:gridCol w:w="1012"/>
        <w:gridCol w:w="1562"/>
        <w:gridCol w:w="674"/>
        <w:gridCol w:w="674"/>
      </w:tblGrid>
      <w:tr w:rsidR="00696FEB" w:rsidRPr="00696FEB" w14:paraId="754ADD64" w14:textId="77777777" w:rsidTr="00B068D1">
        <w:trPr>
          <w:trHeight w:val="290"/>
        </w:trPr>
        <w:tc>
          <w:tcPr>
            <w:tcW w:w="2694" w:type="dxa"/>
            <w:tcBorders>
              <w:top w:val="nil"/>
              <w:left w:val="nil"/>
              <w:bottom w:val="nil"/>
              <w:right w:val="nil"/>
            </w:tcBorders>
            <w:noWrap/>
            <w:vAlign w:val="center"/>
            <w:hideMark/>
          </w:tcPr>
          <w:p w14:paraId="3C5EC0F1"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variable_label</w:t>
            </w:r>
          </w:p>
        </w:tc>
        <w:tc>
          <w:tcPr>
            <w:tcW w:w="1111" w:type="dxa"/>
            <w:tcBorders>
              <w:top w:val="nil"/>
              <w:left w:val="nil"/>
              <w:bottom w:val="nil"/>
              <w:right w:val="nil"/>
            </w:tcBorders>
            <w:noWrap/>
            <w:vAlign w:val="center"/>
            <w:hideMark/>
          </w:tcPr>
          <w:p w14:paraId="1A1CADE0"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comparison_area</w:t>
            </w:r>
          </w:p>
        </w:tc>
        <w:tc>
          <w:tcPr>
            <w:tcW w:w="908" w:type="dxa"/>
            <w:tcBorders>
              <w:top w:val="nil"/>
              <w:left w:val="nil"/>
              <w:bottom w:val="nil"/>
              <w:right w:val="nil"/>
            </w:tcBorders>
            <w:noWrap/>
            <w:vAlign w:val="center"/>
            <w:hideMark/>
          </w:tcPr>
          <w:p w14:paraId="5947396C"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n_paired</w:t>
            </w:r>
          </w:p>
        </w:tc>
        <w:tc>
          <w:tcPr>
            <w:tcW w:w="1012" w:type="dxa"/>
            <w:tcBorders>
              <w:top w:val="nil"/>
              <w:left w:val="nil"/>
              <w:bottom w:val="nil"/>
              <w:right w:val="nil"/>
            </w:tcBorders>
            <w:noWrap/>
            <w:vAlign w:val="center"/>
            <w:hideMark/>
          </w:tcPr>
          <w:p w14:paraId="1C72D647"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pearson_r</w:t>
            </w:r>
          </w:p>
        </w:tc>
        <w:tc>
          <w:tcPr>
            <w:tcW w:w="1562" w:type="dxa"/>
            <w:tcBorders>
              <w:top w:val="nil"/>
              <w:left w:val="nil"/>
              <w:bottom w:val="nil"/>
              <w:right w:val="nil"/>
            </w:tcBorders>
            <w:noWrap/>
            <w:vAlign w:val="center"/>
            <w:hideMark/>
          </w:tcPr>
          <w:p w14:paraId="7C9326CC"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mean_difference</w:t>
            </w:r>
          </w:p>
        </w:tc>
        <w:tc>
          <w:tcPr>
            <w:tcW w:w="674" w:type="dxa"/>
            <w:tcBorders>
              <w:top w:val="nil"/>
              <w:left w:val="nil"/>
              <w:bottom w:val="nil"/>
              <w:right w:val="nil"/>
            </w:tcBorders>
            <w:noWrap/>
            <w:vAlign w:val="center"/>
            <w:hideMark/>
          </w:tcPr>
          <w:p w14:paraId="34446B7A"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rmse</w:t>
            </w:r>
          </w:p>
        </w:tc>
        <w:tc>
          <w:tcPr>
            <w:tcW w:w="674" w:type="dxa"/>
            <w:tcBorders>
              <w:top w:val="nil"/>
              <w:left w:val="nil"/>
              <w:bottom w:val="nil"/>
              <w:right w:val="nil"/>
            </w:tcBorders>
            <w:noWrap/>
            <w:vAlign w:val="center"/>
            <w:hideMark/>
          </w:tcPr>
          <w:p w14:paraId="3FDBFB77"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mae</w:t>
            </w:r>
          </w:p>
        </w:tc>
      </w:tr>
      <w:tr w:rsidR="00696FEB" w:rsidRPr="00696FEB" w14:paraId="5F9249B8" w14:textId="77777777" w:rsidTr="00B068D1">
        <w:trPr>
          <w:trHeight w:val="290"/>
        </w:trPr>
        <w:tc>
          <w:tcPr>
            <w:tcW w:w="2694" w:type="dxa"/>
            <w:tcBorders>
              <w:top w:val="nil"/>
              <w:left w:val="nil"/>
              <w:bottom w:val="nil"/>
              <w:right w:val="nil"/>
            </w:tcBorders>
            <w:noWrap/>
            <w:vAlign w:val="center"/>
            <w:hideMark/>
          </w:tcPr>
          <w:p w14:paraId="541C4B60"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Density</w:t>
            </w:r>
          </w:p>
        </w:tc>
        <w:tc>
          <w:tcPr>
            <w:tcW w:w="1111" w:type="dxa"/>
            <w:tcBorders>
              <w:top w:val="nil"/>
              <w:left w:val="nil"/>
              <w:bottom w:val="nil"/>
              <w:right w:val="nil"/>
            </w:tcBorders>
            <w:noWrap/>
            <w:vAlign w:val="center"/>
            <w:hideMark/>
          </w:tcPr>
          <w:p w14:paraId="5C847A10"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German Bank</w:t>
            </w:r>
          </w:p>
        </w:tc>
        <w:tc>
          <w:tcPr>
            <w:tcW w:w="908" w:type="dxa"/>
            <w:tcBorders>
              <w:top w:val="nil"/>
              <w:left w:val="nil"/>
              <w:bottom w:val="nil"/>
              <w:right w:val="nil"/>
            </w:tcBorders>
            <w:noWrap/>
            <w:vAlign w:val="center"/>
            <w:hideMark/>
          </w:tcPr>
          <w:p w14:paraId="614BAFFF"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20</w:t>
            </w:r>
          </w:p>
        </w:tc>
        <w:tc>
          <w:tcPr>
            <w:tcW w:w="1012" w:type="dxa"/>
            <w:tcBorders>
              <w:top w:val="nil"/>
              <w:left w:val="nil"/>
              <w:bottom w:val="nil"/>
              <w:right w:val="nil"/>
            </w:tcBorders>
            <w:noWrap/>
            <w:vAlign w:val="center"/>
            <w:hideMark/>
          </w:tcPr>
          <w:p w14:paraId="2FABB0F7"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-0.047</w:t>
            </w:r>
          </w:p>
        </w:tc>
        <w:tc>
          <w:tcPr>
            <w:tcW w:w="1562" w:type="dxa"/>
            <w:tcBorders>
              <w:top w:val="nil"/>
              <w:left w:val="nil"/>
              <w:bottom w:val="nil"/>
              <w:right w:val="nil"/>
            </w:tcBorders>
            <w:noWrap/>
            <w:vAlign w:val="center"/>
            <w:hideMark/>
          </w:tcPr>
          <w:p w14:paraId="68B0B9B6"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-0.039</w:t>
            </w:r>
          </w:p>
        </w:tc>
        <w:tc>
          <w:tcPr>
            <w:tcW w:w="674" w:type="dxa"/>
            <w:tcBorders>
              <w:top w:val="nil"/>
              <w:left w:val="nil"/>
              <w:bottom w:val="nil"/>
              <w:right w:val="nil"/>
            </w:tcBorders>
            <w:noWrap/>
            <w:vAlign w:val="center"/>
            <w:hideMark/>
          </w:tcPr>
          <w:p w14:paraId="5ED16DFB"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0.661</w:t>
            </w:r>
          </w:p>
        </w:tc>
        <w:tc>
          <w:tcPr>
            <w:tcW w:w="674" w:type="dxa"/>
            <w:tcBorders>
              <w:top w:val="nil"/>
              <w:left w:val="nil"/>
              <w:bottom w:val="nil"/>
              <w:right w:val="nil"/>
            </w:tcBorders>
            <w:noWrap/>
            <w:vAlign w:val="center"/>
            <w:hideMark/>
          </w:tcPr>
          <w:p w14:paraId="2375217C"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0.526</w:t>
            </w:r>
          </w:p>
        </w:tc>
      </w:tr>
      <w:tr w:rsidR="00696FEB" w:rsidRPr="00696FEB" w14:paraId="0A26A629" w14:textId="77777777" w:rsidTr="00B068D1">
        <w:trPr>
          <w:trHeight w:val="290"/>
        </w:trPr>
        <w:tc>
          <w:tcPr>
            <w:tcW w:w="2694" w:type="dxa"/>
            <w:tcBorders>
              <w:top w:val="nil"/>
              <w:left w:val="nil"/>
              <w:bottom w:val="nil"/>
              <w:right w:val="nil"/>
            </w:tcBorders>
            <w:noWrap/>
            <w:vAlign w:val="center"/>
            <w:hideMark/>
          </w:tcPr>
          <w:p w14:paraId="0A22F01D"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Density</w:t>
            </w:r>
          </w:p>
        </w:tc>
        <w:tc>
          <w:tcPr>
            <w:tcW w:w="1111" w:type="dxa"/>
            <w:tcBorders>
              <w:top w:val="nil"/>
              <w:left w:val="nil"/>
              <w:bottom w:val="nil"/>
              <w:right w:val="nil"/>
            </w:tcBorders>
            <w:noWrap/>
            <w:vAlign w:val="center"/>
            <w:hideMark/>
          </w:tcPr>
          <w:p w14:paraId="79623AF5"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Scots Bay</w:t>
            </w:r>
          </w:p>
        </w:tc>
        <w:tc>
          <w:tcPr>
            <w:tcW w:w="908" w:type="dxa"/>
            <w:tcBorders>
              <w:top w:val="nil"/>
              <w:left w:val="nil"/>
              <w:bottom w:val="nil"/>
              <w:right w:val="nil"/>
            </w:tcBorders>
            <w:noWrap/>
            <w:vAlign w:val="center"/>
            <w:hideMark/>
          </w:tcPr>
          <w:p w14:paraId="487CD292"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27</w:t>
            </w:r>
          </w:p>
        </w:tc>
        <w:tc>
          <w:tcPr>
            <w:tcW w:w="1012" w:type="dxa"/>
            <w:tcBorders>
              <w:top w:val="nil"/>
              <w:left w:val="nil"/>
              <w:bottom w:val="nil"/>
              <w:right w:val="nil"/>
            </w:tcBorders>
            <w:noWrap/>
            <w:vAlign w:val="center"/>
            <w:hideMark/>
          </w:tcPr>
          <w:p w14:paraId="77A717C2"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-0.003</w:t>
            </w:r>
          </w:p>
        </w:tc>
        <w:tc>
          <w:tcPr>
            <w:tcW w:w="1562" w:type="dxa"/>
            <w:tcBorders>
              <w:top w:val="nil"/>
              <w:left w:val="nil"/>
              <w:bottom w:val="nil"/>
              <w:right w:val="nil"/>
            </w:tcBorders>
            <w:noWrap/>
            <w:vAlign w:val="center"/>
            <w:hideMark/>
          </w:tcPr>
          <w:p w14:paraId="60475CD2"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0.083</w:t>
            </w:r>
          </w:p>
        </w:tc>
        <w:tc>
          <w:tcPr>
            <w:tcW w:w="674" w:type="dxa"/>
            <w:tcBorders>
              <w:top w:val="nil"/>
              <w:left w:val="nil"/>
              <w:bottom w:val="nil"/>
              <w:right w:val="nil"/>
            </w:tcBorders>
            <w:noWrap/>
            <w:vAlign w:val="center"/>
            <w:hideMark/>
          </w:tcPr>
          <w:p w14:paraId="2CC0BB22"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0.94</w:t>
            </w:r>
          </w:p>
        </w:tc>
        <w:tc>
          <w:tcPr>
            <w:tcW w:w="674" w:type="dxa"/>
            <w:tcBorders>
              <w:top w:val="nil"/>
              <w:left w:val="nil"/>
              <w:bottom w:val="nil"/>
              <w:right w:val="nil"/>
            </w:tcBorders>
            <w:noWrap/>
            <w:vAlign w:val="center"/>
            <w:hideMark/>
          </w:tcPr>
          <w:p w14:paraId="78D7CED4"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0.521</w:t>
            </w:r>
          </w:p>
        </w:tc>
      </w:tr>
      <w:tr w:rsidR="00696FEB" w:rsidRPr="00696FEB" w14:paraId="53F44538" w14:textId="77777777" w:rsidTr="00B068D1">
        <w:trPr>
          <w:trHeight w:val="290"/>
        </w:trPr>
        <w:tc>
          <w:tcPr>
            <w:tcW w:w="2694" w:type="dxa"/>
            <w:tcBorders>
              <w:top w:val="nil"/>
              <w:left w:val="nil"/>
              <w:bottom w:val="nil"/>
              <w:right w:val="nil"/>
            </w:tcBorders>
            <w:noWrap/>
            <w:vAlign w:val="center"/>
            <w:hideMark/>
          </w:tcPr>
          <w:p w14:paraId="07C13236"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Density stratification</w:t>
            </w:r>
          </w:p>
        </w:tc>
        <w:tc>
          <w:tcPr>
            <w:tcW w:w="1111" w:type="dxa"/>
            <w:tcBorders>
              <w:top w:val="nil"/>
              <w:left w:val="nil"/>
              <w:bottom w:val="nil"/>
              <w:right w:val="nil"/>
            </w:tcBorders>
            <w:noWrap/>
            <w:vAlign w:val="center"/>
            <w:hideMark/>
          </w:tcPr>
          <w:p w14:paraId="19B007C1"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German Bank</w:t>
            </w:r>
          </w:p>
        </w:tc>
        <w:tc>
          <w:tcPr>
            <w:tcW w:w="908" w:type="dxa"/>
            <w:tcBorders>
              <w:top w:val="nil"/>
              <w:left w:val="nil"/>
              <w:bottom w:val="nil"/>
              <w:right w:val="nil"/>
            </w:tcBorders>
            <w:noWrap/>
            <w:vAlign w:val="center"/>
            <w:hideMark/>
          </w:tcPr>
          <w:p w14:paraId="11262B31"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18</w:t>
            </w:r>
          </w:p>
        </w:tc>
        <w:tc>
          <w:tcPr>
            <w:tcW w:w="1012" w:type="dxa"/>
            <w:tcBorders>
              <w:top w:val="nil"/>
              <w:left w:val="nil"/>
              <w:bottom w:val="nil"/>
              <w:right w:val="nil"/>
            </w:tcBorders>
            <w:noWrap/>
            <w:vAlign w:val="center"/>
            <w:hideMark/>
          </w:tcPr>
          <w:p w14:paraId="0053B37F"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0.197</w:t>
            </w:r>
          </w:p>
        </w:tc>
        <w:tc>
          <w:tcPr>
            <w:tcW w:w="1562" w:type="dxa"/>
            <w:tcBorders>
              <w:top w:val="nil"/>
              <w:left w:val="nil"/>
              <w:bottom w:val="nil"/>
              <w:right w:val="nil"/>
            </w:tcBorders>
            <w:noWrap/>
            <w:vAlign w:val="center"/>
            <w:hideMark/>
          </w:tcPr>
          <w:p w14:paraId="2619C78F"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0.341</w:t>
            </w:r>
          </w:p>
        </w:tc>
        <w:tc>
          <w:tcPr>
            <w:tcW w:w="674" w:type="dxa"/>
            <w:tcBorders>
              <w:top w:val="nil"/>
              <w:left w:val="nil"/>
              <w:bottom w:val="nil"/>
              <w:right w:val="nil"/>
            </w:tcBorders>
            <w:noWrap/>
            <w:vAlign w:val="center"/>
            <w:hideMark/>
          </w:tcPr>
          <w:p w14:paraId="46098A2C"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0.458</w:t>
            </w:r>
          </w:p>
        </w:tc>
        <w:tc>
          <w:tcPr>
            <w:tcW w:w="674" w:type="dxa"/>
            <w:tcBorders>
              <w:top w:val="nil"/>
              <w:left w:val="nil"/>
              <w:bottom w:val="nil"/>
              <w:right w:val="nil"/>
            </w:tcBorders>
            <w:noWrap/>
            <w:vAlign w:val="center"/>
            <w:hideMark/>
          </w:tcPr>
          <w:p w14:paraId="77069E4F"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0.36</w:t>
            </w:r>
          </w:p>
        </w:tc>
      </w:tr>
      <w:tr w:rsidR="00696FEB" w:rsidRPr="00696FEB" w14:paraId="19C3B6ED" w14:textId="77777777" w:rsidTr="00B068D1">
        <w:trPr>
          <w:trHeight w:val="290"/>
        </w:trPr>
        <w:tc>
          <w:tcPr>
            <w:tcW w:w="2694" w:type="dxa"/>
            <w:tcBorders>
              <w:top w:val="nil"/>
              <w:left w:val="nil"/>
              <w:bottom w:val="nil"/>
              <w:right w:val="nil"/>
            </w:tcBorders>
            <w:noWrap/>
            <w:vAlign w:val="center"/>
            <w:hideMark/>
          </w:tcPr>
          <w:p w14:paraId="5D104D62"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Density stratification</w:t>
            </w:r>
          </w:p>
        </w:tc>
        <w:tc>
          <w:tcPr>
            <w:tcW w:w="1111" w:type="dxa"/>
            <w:tcBorders>
              <w:top w:val="nil"/>
              <w:left w:val="nil"/>
              <w:bottom w:val="nil"/>
              <w:right w:val="nil"/>
            </w:tcBorders>
            <w:noWrap/>
            <w:vAlign w:val="center"/>
            <w:hideMark/>
          </w:tcPr>
          <w:p w14:paraId="557592D9"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Scots Bay</w:t>
            </w:r>
          </w:p>
        </w:tc>
        <w:tc>
          <w:tcPr>
            <w:tcW w:w="908" w:type="dxa"/>
            <w:tcBorders>
              <w:top w:val="nil"/>
              <w:left w:val="nil"/>
              <w:bottom w:val="nil"/>
              <w:right w:val="nil"/>
            </w:tcBorders>
            <w:noWrap/>
            <w:vAlign w:val="center"/>
            <w:hideMark/>
          </w:tcPr>
          <w:p w14:paraId="1A8F7E67"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27</w:t>
            </w:r>
          </w:p>
        </w:tc>
        <w:tc>
          <w:tcPr>
            <w:tcW w:w="1012" w:type="dxa"/>
            <w:tcBorders>
              <w:top w:val="nil"/>
              <w:left w:val="nil"/>
              <w:bottom w:val="nil"/>
              <w:right w:val="nil"/>
            </w:tcBorders>
            <w:noWrap/>
            <w:vAlign w:val="center"/>
            <w:hideMark/>
          </w:tcPr>
          <w:p w14:paraId="0DF0FAA8"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-0.187</w:t>
            </w:r>
          </w:p>
        </w:tc>
        <w:tc>
          <w:tcPr>
            <w:tcW w:w="1562" w:type="dxa"/>
            <w:tcBorders>
              <w:top w:val="nil"/>
              <w:left w:val="nil"/>
              <w:bottom w:val="nil"/>
              <w:right w:val="nil"/>
            </w:tcBorders>
            <w:noWrap/>
            <w:vAlign w:val="center"/>
            <w:hideMark/>
          </w:tcPr>
          <w:p w14:paraId="70CCAC36"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-0.499</w:t>
            </w:r>
          </w:p>
        </w:tc>
        <w:tc>
          <w:tcPr>
            <w:tcW w:w="674" w:type="dxa"/>
            <w:tcBorders>
              <w:top w:val="nil"/>
              <w:left w:val="nil"/>
              <w:bottom w:val="nil"/>
              <w:right w:val="nil"/>
            </w:tcBorders>
            <w:noWrap/>
            <w:vAlign w:val="center"/>
            <w:hideMark/>
          </w:tcPr>
          <w:p w14:paraId="76F781C2"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2.288</w:t>
            </w:r>
          </w:p>
        </w:tc>
        <w:tc>
          <w:tcPr>
            <w:tcW w:w="674" w:type="dxa"/>
            <w:tcBorders>
              <w:top w:val="nil"/>
              <w:left w:val="nil"/>
              <w:bottom w:val="nil"/>
              <w:right w:val="nil"/>
            </w:tcBorders>
            <w:noWrap/>
            <w:vAlign w:val="center"/>
            <w:hideMark/>
          </w:tcPr>
          <w:p w14:paraId="1039F048"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0.593</w:t>
            </w:r>
          </w:p>
        </w:tc>
      </w:tr>
      <w:tr w:rsidR="00696FEB" w:rsidRPr="00696FEB" w14:paraId="04ECF63E" w14:textId="77777777" w:rsidTr="00B068D1">
        <w:trPr>
          <w:trHeight w:val="290"/>
        </w:trPr>
        <w:tc>
          <w:tcPr>
            <w:tcW w:w="2694" w:type="dxa"/>
            <w:tcBorders>
              <w:top w:val="nil"/>
              <w:left w:val="nil"/>
              <w:bottom w:val="nil"/>
              <w:right w:val="nil"/>
            </w:tcBorders>
            <w:noWrap/>
            <w:vAlign w:val="center"/>
            <w:hideMark/>
          </w:tcPr>
          <w:p w14:paraId="044D617E"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Salinity</w:t>
            </w:r>
          </w:p>
        </w:tc>
        <w:tc>
          <w:tcPr>
            <w:tcW w:w="1111" w:type="dxa"/>
            <w:tcBorders>
              <w:top w:val="nil"/>
              <w:left w:val="nil"/>
              <w:bottom w:val="nil"/>
              <w:right w:val="nil"/>
            </w:tcBorders>
            <w:noWrap/>
            <w:vAlign w:val="center"/>
            <w:hideMark/>
          </w:tcPr>
          <w:p w14:paraId="27A1C583"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German Bank</w:t>
            </w:r>
          </w:p>
        </w:tc>
        <w:tc>
          <w:tcPr>
            <w:tcW w:w="908" w:type="dxa"/>
            <w:tcBorders>
              <w:top w:val="nil"/>
              <w:left w:val="nil"/>
              <w:bottom w:val="nil"/>
              <w:right w:val="nil"/>
            </w:tcBorders>
            <w:noWrap/>
            <w:vAlign w:val="center"/>
            <w:hideMark/>
          </w:tcPr>
          <w:p w14:paraId="042308E9"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20</w:t>
            </w:r>
          </w:p>
        </w:tc>
        <w:tc>
          <w:tcPr>
            <w:tcW w:w="1012" w:type="dxa"/>
            <w:tcBorders>
              <w:top w:val="nil"/>
              <w:left w:val="nil"/>
              <w:bottom w:val="nil"/>
              <w:right w:val="nil"/>
            </w:tcBorders>
            <w:noWrap/>
            <w:vAlign w:val="center"/>
            <w:hideMark/>
          </w:tcPr>
          <w:p w14:paraId="4F198FB6"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0.001</w:t>
            </w:r>
          </w:p>
        </w:tc>
        <w:tc>
          <w:tcPr>
            <w:tcW w:w="1562" w:type="dxa"/>
            <w:tcBorders>
              <w:top w:val="nil"/>
              <w:left w:val="nil"/>
              <w:bottom w:val="nil"/>
              <w:right w:val="nil"/>
            </w:tcBorders>
            <w:noWrap/>
            <w:vAlign w:val="center"/>
            <w:hideMark/>
          </w:tcPr>
          <w:p w14:paraId="22AB1462"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-0.113</w:t>
            </w:r>
          </w:p>
        </w:tc>
        <w:tc>
          <w:tcPr>
            <w:tcW w:w="674" w:type="dxa"/>
            <w:tcBorders>
              <w:top w:val="nil"/>
              <w:left w:val="nil"/>
              <w:bottom w:val="nil"/>
              <w:right w:val="nil"/>
            </w:tcBorders>
            <w:noWrap/>
            <w:vAlign w:val="center"/>
            <w:hideMark/>
          </w:tcPr>
          <w:p w14:paraId="1839B039"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0.761</w:t>
            </w:r>
          </w:p>
        </w:tc>
        <w:tc>
          <w:tcPr>
            <w:tcW w:w="674" w:type="dxa"/>
            <w:tcBorders>
              <w:top w:val="nil"/>
              <w:left w:val="nil"/>
              <w:bottom w:val="nil"/>
              <w:right w:val="nil"/>
            </w:tcBorders>
            <w:noWrap/>
            <w:vAlign w:val="center"/>
            <w:hideMark/>
          </w:tcPr>
          <w:p w14:paraId="782A2C28"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0.58</w:t>
            </w:r>
          </w:p>
        </w:tc>
      </w:tr>
      <w:tr w:rsidR="00696FEB" w:rsidRPr="00696FEB" w14:paraId="7F48E5B5" w14:textId="77777777" w:rsidTr="00B068D1">
        <w:trPr>
          <w:trHeight w:val="290"/>
        </w:trPr>
        <w:tc>
          <w:tcPr>
            <w:tcW w:w="2694" w:type="dxa"/>
            <w:tcBorders>
              <w:top w:val="nil"/>
              <w:left w:val="nil"/>
              <w:bottom w:val="nil"/>
              <w:right w:val="nil"/>
            </w:tcBorders>
            <w:noWrap/>
            <w:vAlign w:val="center"/>
            <w:hideMark/>
          </w:tcPr>
          <w:p w14:paraId="11AF57CE"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Salinity</w:t>
            </w:r>
          </w:p>
        </w:tc>
        <w:tc>
          <w:tcPr>
            <w:tcW w:w="1111" w:type="dxa"/>
            <w:tcBorders>
              <w:top w:val="nil"/>
              <w:left w:val="nil"/>
              <w:bottom w:val="nil"/>
              <w:right w:val="nil"/>
            </w:tcBorders>
            <w:noWrap/>
            <w:vAlign w:val="center"/>
            <w:hideMark/>
          </w:tcPr>
          <w:p w14:paraId="0EC844EB"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Scots Bay</w:t>
            </w:r>
          </w:p>
        </w:tc>
        <w:tc>
          <w:tcPr>
            <w:tcW w:w="908" w:type="dxa"/>
            <w:tcBorders>
              <w:top w:val="nil"/>
              <w:left w:val="nil"/>
              <w:bottom w:val="nil"/>
              <w:right w:val="nil"/>
            </w:tcBorders>
            <w:noWrap/>
            <w:vAlign w:val="center"/>
            <w:hideMark/>
          </w:tcPr>
          <w:p w14:paraId="34089EFF"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27</w:t>
            </w:r>
          </w:p>
        </w:tc>
        <w:tc>
          <w:tcPr>
            <w:tcW w:w="1012" w:type="dxa"/>
            <w:tcBorders>
              <w:top w:val="nil"/>
              <w:left w:val="nil"/>
              <w:bottom w:val="nil"/>
              <w:right w:val="nil"/>
            </w:tcBorders>
            <w:noWrap/>
            <w:vAlign w:val="center"/>
            <w:hideMark/>
          </w:tcPr>
          <w:p w14:paraId="49C87C3F"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0.193</w:t>
            </w:r>
          </w:p>
        </w:tc>
        <w:tc>
          <w:tcPr>
            <w:tcW w:w="1562" w:type="dxa"/>
            <w:tcBorders>
              <w:top w:val="nil"/>
              <w:left w:val="nil"/>
              <w:bottom w:val="nil"/>
              <w:right w:val="nil"/>
            </w:tcBorders>
            <w:noWrap/>
            <w:vAlign w:val="center"/>
            <w:hideMark/>
          </w:tcPr>
          <w:p w14:paraId="2B534E09"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0.159</w:t>
            </w:r>
          </w:p>
        </w:tc>
        <w:tc>
          <w:tcPr>
            <w:tcW w:w="674" w:type="dxa"/>
            <w:tcBorders>
              <w:top w:val="nil"/>
              <w:left w:val="nil"/>
              <w:bottom w:val="nil"/>
              <w:right w:val="nil"/>
            </w:tcBorders>
            <w:noWrap/>
            <w:vAlign w:val="center"/>
            <w:hideMark/>
          </w:tcPr>
          <w:p w14:paraId="35E57E3F"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1.189</w:t>
            </w:r>
          </w:p>
        </w:tc>
        <w:tc>
          <w:tcPr>
            <w:tcW w:w="674" w:type="dxa"/>
            <w:tcBorders>
              <w:top w:val="nil"/>
              <w:left w:val="nil"/>
              <w:bottom w:val="nil"/>
              <w:right w:val="nil"/>
            </w:tcBorders>
            <w:noWrap/>
            <w:vAlign w:val="center"/>
            <w:hideMark/>
          </w:tcPr>
          <w:p w14:paraId="4028FB99"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0.644</w:t>
            </w:r>
          </w:p>
        </w:tc>
      </w:tr>
      <w:tr w:rsidR="00696FEB" w:rsidRPr="00696FEB" w14:paraId="0C8D7197" w14:textId="77777777" w:rsidTr="00B068D1">
        <w:trPr>
          <w:trHeight w:val="290"/>
        </w:trPr>
        <w:tc>
          <w:tcPr>
            <w:tcW w:w="2694" w:type="dxa"/>
            <w:tcBorders>
              <w:top w:val="nil"/>
              <w:left w:val="nil"/>
              <w:bottom w:val="nil"/>
              <w:right w:val="nil"/>
            </w:tcBorders>
            <w:noWrap/>
            <w:vAlign w:val="center"/>
            <w:hideMark/>
          </w:tcPr>
          <w:p w14:paraId="2AA15BBF"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Temperature</w:t>
            </w:r>
          </w:p>
        </w:tc>
        <w:tc>
          <w:tcPr>
            <w:tcW w:w="1111" w:type="dxa"/>
            <w:tcBorders>
              <w:top w:val="nil"/>
              <w:left w:val="nil"/>
              <w:bottom w:val="nil"/>
              <w:right w:val="nil"/>
            </w:tcBorders>
            <w:noWrap/>
            <w:vAlign w:val="center"/>
            <w:hideMark/>
          </w:tcPr>
          <w:p w14:paraId="0B498622"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German Bank</w:t>
            </w:r>
          </w:p>
        </w:tc>
        <w:tc>
          <w:tcPr>
            <w:tcW w:w="908" w:type="dxa"/>
            <w:tcBorders>
              <w:top w:val="nil"/>
              <w:left w:val="nil"/>
              <w:bottom w:val="nil"/>
              <w:right w:val="nil"/>
            </w:tcBorders>
            <w:noWrap/>
            <w:vAlign w:val="center"/>
            <w:hideMark/>
          </w:tcPr>
          <w:p w14:paraId="1EAB6E5E"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22</w:t>
            </w:r>
          </w:p>
        </w:tc>
        <w:tc>
          <w:tcPr>
            <w:tcW w:w="1012" w:type="dxa"/>
            <w:tcBorders>
              <w:top w:val="nil"/>
              <w:left w:val="nil"/>
              <w:bottom w:val="nil"/>
              <w:right w:val="nil"/>
            </w:tcBorders>
            <w:noWrap/>
            <w:vAlign w:val="center"/>
            <w:hideMark/>
          </w:tcPr>
          <w:p w14:paraId="31B5BF7A"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0.745</w:t>
            </w:r>
          </w:p>
        </w:tc>
        <w:tc>
          <w:tcPr>
            <w:tcW w:w="1562" w:type="dxa"/>
            <w:tcBorders>
              <w:top w:val="nil"/>
              <w:left w:val="nil"/>
              <w:bottom w:val="nil"/>
              <w:right w:val="nil"/>
            </w:tcBorders>
            <w:noWrap/>
            <w:vAlign w:val="center"/>
            <w:hideMark/>
          </w:tcPr>
          <w:p w14:paraId="247F6F0F"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-0.301</w:t>
            </w:r>
          </w:p>
        </w:tc>
        <w:tc>
          <w:tcPr>
            <w:tcW w:w="674" w:type="dxa"/>
            <w:tcBorders>
              <w:top w:val="nil"/>
              <w:left w:val="nil"/>
              <w:bottom w:val="nil"/>
              <w:right w:val="nil"/>
            </w:tcBorders>
            <w:noWrap/>
            <w:vAlign w:val="center"/>
            <w:hideMark/>
          </w:tcPr>
          <w:p w14:paraId="47D44DB8"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1.14</w:t>
            </w:r>
          </w:p>
        </w:tc>
        <w:tc>
          <w:tcPr>
            <w:tcW w:w="674" w:type="dxa"/>
            <w:tcBorders>
              <w:top w:val="nil"/>
              <w:left w:val="nil"/>
              <w:bottom w:val="nil"/>
              <w:right w:val="nil"/>
            </w:tcBorders>
            <w:noWrap/>
            <w:vAlign w:val="center"/>
            <w:hideMark/>
          </w:tcPr>
          <w:p w14:paraId="36B65952"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0.928</w:t>
            </w:r>
          </w:p>
        </w:tc>
      </w:tr>
      <w:tr w:rsidR="00696FEB" w:rsidRPr="00696FEB" w14:paraId="2DA818AF" w14:textId="77777777" w:rsidTr="00B068D1">
        <w:trPr>
          <w:trHeight w:val="290"/>
        </w:trPr>
        <w:tc>
          <w:tcPr>
            <w:tcW w:w="2694" w:type="dxa"/>
            <w:tcBorders>
              <w:top w:val="nil"/>
              <w:left w:val="nil"/>
              <w:bottom w:val="nil"/>
              <w:right w:val="nil"/>
            </w:tcBorders>
            <w:noWrap/>
            <w:vAlign w:val="center"/>
            <w:hideMark/>
          </w:tcPr>
          <w:p w14:paraId="294B5652"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Temperature</w:t>
            </w:r>
          </w:p>
        </w:tc>
        <w:tc>
          <w:tcPr>
            <w:tcW w:w="1111" w:type="dxa"/>
            <w:tcBorders>
              <w:top w:val="nil"/>
              <w:left w:val="nil"/>
              <w:bottom w:val="nil"/>
              <w:right w:val="nil"/>
            </w:tcBorders>
            <w:noWrap/>
            <w:vAlign w:val="center"/>
            <w:hideMark/>
          </w:tcPr>
          <w:p w14:paraId="4A3B3E90"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Scots Bay</w:t>
            </w:r>
          </w:p>
        </w:tc>
        <w:tc>
          <w:tcPr>
            <w:tcW w:w="908" w:type="dxa"/>
            <w:tcBorders>
              <w:top w:val="nil"/>
              <w:left w:val="nil"/>
              <w:bottom w:val="nil"/>
              <w:right w:val="nil"/>
            </w:tcBorders>
            <w:noWrap/>
            <w:vAlign w:val="center"/>
            <w:hideMark/>
          </w:tcPr>
          <w:p w14:paraId="5DDBEBAF"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27</w:t>
            </w:r>
          </w:p>
        </w:tc>
        <w:tc>
          <w:tcPr>
            <w:tcW w:w="1012" w:type="dxa"/>
            <w:tcBorders>
              <w:top w:val="nil"/>
              <w:left w:val="nil"/>
              <w:bottom w:val="nil"/>
              <w:right w:val="nil"/>
            </w:tcBorders>
            <w:noWrap/>
            <w:vAlign w:val="center"/>
            <w:hideMark/>
          </w:tcPr>
          <w:p w14:paraId="58ED7C74"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0.938</w:t>
            </w:r>
          </w:p>
        </w:tc>
        <w:tc>
          <w:tcPr>
            <w:tcW w:w="1562" w:type="dxa"/>
            <w:tcBorders>
              <w:top w:val="nil"/>
              <w:left w:val="nil"/>
              <w:bottom w:val="nil"/>
              <w:right w:val="nil"/>
            </w:tcBorders>
            <w:noWrap/>
            <w:vAlign w:val="center"/>
            <w:hideMark/>
          </w:tcPr>
          <w:p w14:paraId="29CC4CDA"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0.25</w:t>
            </w:r>
          </w:p>
        </w:tc>
        <w:tc>
          <w:tcPr>
            <w:tcW w:w="674" w:type="dxa"/>
            <w:tcBorders>
              <w:top w:val="nil"/>
              <w:left w:val="nil"/>
              <w:bottom w:val="nil"/>
              <w:right w:val="nil"/>
            </w:tcBorders>
            <w:noWrap/>
            <w:vAlign w:val="center"/>
            <w:hideMark/>
          </w:tcPr>
          <w:p w14:paraId="1DAD1174"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0.741</w:t>
            </w:r>
          </w:p>
        </w:tc>
        <w:tc>
          <w:tcPr>
            <w:tcW w:w="674" w:type="dxa"/>
            <w:tcBorders>
              <w:top w:val="nil"/>
              <w:left w:val="nil"/>
              <w:bottom w:val="nil"/>
              <w:right w:val="nil"/>
            </w:tcBorders>
            <w:noWrap/>
            <w:vAlign w:val="center"/>
            <w:hideMark/>
          </w:tcPr>
          <w:p w14:paraId="138342D8"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0.548</w:t>
            </w:r>
          </w:p>
        </w:tc>
      </w:tr>
      <w:tr w:rsidR="00696FEB" w:rsidRPr="00696FEB" w14:paraId="11A11167" w14:textId="77777777" w:rsidTr="00B068D1">
        <w:trPr>
          <w:trHeight w:val="290"/>
        </w:trPr>
        <w:tc>
          <w:tcPr>
            <w:tcW w:w="2694" w:type="dxa"/>
            <w:tcBorders>
              <w:top w:val="nil"/>
              <w:left w:val="nil"/>
              <w:bottom w:val="nil"/>
              <w:right w:val="nil"/>
            </w:tcBorders>
            <w:noWrap/>
            <w:vAlign w:val="center"/>
            <w:hideMark/>
          </w:tcPr>
          <w:p w14:paraId="24C7BE9A"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Temperature stratification</w:t>
            </w:r>
          </w:p>
        </w:tc>
        <w:tc>
          <w:tcPr>
            <w:tcW w:w="1111" w:type="dxa"/>
            <w:tcBorders>
              <w:top w:val="nil"/>
              <w:left w:val="nil"/>
              <w:bottom w:val="nil"/>
              <w:right w:val="nil"/>
            </w:tcBorders>
            <w:noWrap/>
            <w:vAlign w:val="center"/>
            <w:hideMark/>
          </w:tcPr>
          <w:p w14:paraId="1DE7E94C"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German Bank</w:t>
            </w:r>
          </w:p>
        </w:tc>
        <w:tc>
          <w:tcPr>
            <w:tcW w:w="908" w:type="dxa"/>
            <w:tcBorders>
              <w:top w:val="nil"/>
              <w:left w:val="nil"/>
              <w:bottom w:val="nil"/>
              <w:right w:val="nil"/>
            </w:tcBorders>
            <w:noWrap/>
            <w:vAlign w:val="center"/>
            <w:hideMark/>
          </w:tcPr>
          <w:p w14:paraId="64EDC9CC"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22</w:t>
            </w:r>
          </w:p>
        </w:tc>
        <w:tc>
          <w:tcPr>
            <w:tcW w:w="1012" w:type="dxa"/>
            <w:tcBorders>
              <w:top w:val="nil"/>
              <w:left w:val="nil"/>
              <w:bottom w:val="nil"/>
              <w:right w:val="nil"/>
            </w:tcBorders>
            <w:noWrap/>
            <w:vAlign w:val="center"/>
            <w:hideMark/>
          </w:tcPr>
          <w:p w14:paraId="11637200"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0.316</w:t>
            </w:r>
          </w:p>
        </w:tc>
        <w:tc>
          <w:tcPr>
            <w:tcW w:w="1562" w:type="dxa"/>
            <w:tcBorders>
              <w:top w:val="nil"/>
              <w:left w:val="nil"/>
              <w:bottom w:val="nil"/>
              <w:right w:val="nil"/>
            </w:tcBorders>
            <w:noWrap/>
            <w:vAlign w:val="center"/>
            <w:hideMark/>
          </w:tcPr>
          <w:p w14:paraId="2F192A24"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0.861</w:t>
            </w:r>
          </w:p>
        </w:tc>
        <w:tc>
          <w:tcPr>
            <w:tcW w:w="674" w:type="dxa"/>
            <w:tcBorders>
              <w:top w:val="nil"/>
              <w:left w:val="nil"/>
              <w:bottom w:val="nil"/>
              <w:right w:val="nil"/>
            </w:tcBorders>
            <w:noWrap/>
            <w:vAlign w:val="center"/>
            <w:hideMark/>
          </w:tcPr>
          <w:p w14:paraId="73726D22"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1.293</w:t>
            </w:r>
          </w:p>
        </w:tc>
        <w:tc>
          <w:tcPr>
            <w:tcW w:w="674" w:type="dxa"/>
            <w:tcBorders>
              <w:top w:val="nil"/>
              <w:left w:val="nil"/>
              <w:bottom w:val="nil"/>
              <w:right w:val="nil"/>
            </w:tcBorders>
            <w:noWrap/>
            <w:vAlign w:val="center"/>
            <w:hideMark/>
          </w:tcPr>
          <w:p w14:paraId="07D1AB30"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0.933</w:t>
            </w:r>
          </w:p>
        </w:tc>
      </w:tr>
      <w:tr w:rsidR="00696FEB" w:rsidRPr="00696FEB" w14:paraId="7BAD811A" w14:textId="77777777" w:rsidTr="00B068D1">
        <w:trPr>
          <w:trHeight w:val="290"/>
        </w:trPr>
        <w:tc>
          <w:tcPr>
            <w:tcW w:w="2694" w:type="dxa"/>
            <w:tcBorders>
              <w:top w:val="nil"/>
              <w:left w:val="nil"/>
              <w:bottom w:val="nil"/>
              <w:right w:val="nil"/>
            </w:tcBorders>
            <w:noWrap/>
            <w:vAlign w:val="center"/>
            <w:hideMark/>
          </w:tcPr>
          <w:p w14:paraId="6B256266"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Temperature stratification</w:t>
            </w:r>
          </w:p>
        </w:tc>
        <w:tc>
          <w:tcPr>
            <w:tcW w:w="1111" w:type="dxa"/>
            <w:tcBorders>
              <w:top w:val="nil"/>
              <w:left w:val="nil"/>
              <w:bottom w:val="nil"/>
              <w:right w:val="nil"/>
            </w:tcBorders>
            <w:noWrap/>
            <w:vAlign w:val="center"/>
            <w:hideMark/>
          </w:tcPr>
          <w:p w14:paraId="143CD5EC" w14:textId="77777777" w:rsidR="00696FEB" w:rsidRPr="00696FEB" w:rsidRDefault="00696FEB" w:rsidP="00696FEB">
            <w:pPr>
              <w:spacing w:after="0" w:line="240" w:lineRule="auto"/>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Scots Bay</w:t>
            </w:r>
          </w:p>
        </w:tc>
        <w:tc>
          <w:tcPr>
            <w:tcW w:w="908" w:type="dxa"/>
            <w:tcBorders>
              <w:top w:val="nil"/>
              <w:left w:val="nil"/>
              <w:bottom w:val="nil"/>
              <w:right w:val="nil"/>
            </w:tcBorders>
            <w:noWrap/>
            <w:vAlign w:val="center"/>
            <w:hideMark/>
          </w:tcPr>
          <w:p w14:paraId="7CE783BD"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27</w:t>
            </w:r>
          </w:p>
        </w:tc>
        <w:tc>
          <w:tcPr>
            <w:tcW w:w="1012" w:type="dxa"/>
            <w:tcBorders>
              <w:top w:val="nil"/>
              <w:left w:val="nil"/>
              <w:bottom w:val="nil"/>
              <w:right w:val="nil"/>
            </w:tcBorders>
            <w:noWrap/>
            <w:vAlign w:val="center"/>
            <w:hideMark/>
          </w:tcPr>
          <w:p w14:paraId="58B5F507"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0.104</w:t>
            </w:r>
          </w:p>
        </w:tc>
        <w:tc>
          <w:tcPr>
            <w:tcW w:w="1562" w:type="dxa"/>
            <w:tcBorders>
              <w:top w:val="nil"/>
              <w:left w:val="nil"/>
              <w:bottom w:val="nil"/>
              <w:right w:val="nil"/>
            </w:tcBorders>
            <w:noWrap/>
            <w:vAlign w:val="center"/>
            <w:hideMark/>
          </w:tcPr>
          <w:p w14:paraId="5785E1B0"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-0.107</w:t>
            </w:r>
          </w:p>
        </w:tc>
        <w:tc>
          <w:tcPr>
            <w:tcW w:w="674" w:type="dxa"/>
            <w:tcBorders>
              <w:top w:val="nil"/>
              <w:left w:val="nil"/>
              <w:bottom w:val="nil"/>
              <w:right w:val="nil"/>
            </w:tcBorders>
            <w:noWrap/>
            <w:vAlign w:val="center"/>
            <w:hideMark/>
          </w:tcPr>
          <w:p w14:paraId="462FF61A"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0.461</w:t>
            </w:r>
          </w:p>
        </w:tc>
        <w:tc>
          <w:tcPr>
            <w:tcW w:w="674" w:type="dxa"/>
            <w:tcBorders>
              <w:top w:val="nil"/>
              <w:left w:val="nil"/>
              <w:bottom w:val="nil"/>
              <w:right w:val="nil"/>
            </w:tcBorders>
            <w:noWrap/>
            <w:vAlign w:val="center"/>
            <w:hideMark/>
          </w:tcPr>
          <w:p w14:paraId="39012321" w14:textId="77777777" w:rsidR="00696FEB" w:rsidRPr="00696FEB" w:rsidRDefault="00696FEB" w:rsidP="00696FEB">
            <w:pPr>
              <w:spacing w:after="0" w:line="240" w:lineRule="auto"/>
              <w:jc w:val="right"/>
              <w:rPr>
                <w:rFonts w:ascii="Aptos Narrow" w:eastAsia="Times New Roman" w:hAnsi="Aptos Narrow" w:cs="Times New Roman"/>
                <w:color w:val="000000"/>
                <w:kern w:val="0"/>
                <w:sz w:val="20"/>
                <w:szCs w:val="20"/>
                <w:lang w:eastAsia="en-CA"/>
                <w14:ligatures w14:val="none"/>
              </w:rPr>
            </w:pPr>
            <w:r w:rsidRPr="00696FEB">
              <w:rPr>
                <w:rFonts w:ascii="Aptos Narrow" w:eastAsia="Times New Roman" w:hAnsi="Aptos Narrow" w:cs="Times New Roman"/>
                <w:color w:val="000000"/>
                <w:kern w:val="0"/>
                <w:sz w:val="20"/>
                <w:szCs w:val="20"/>
                <w:lang w:eastAsia="en-CA"/>
                <w14:ligatures w14:val="none"/>
              </w:rPr>
              <w:t>0.367</w:t>
            </w:r>
          </w:p>
        </w:tc>
      </w:tr>
    </w:tbl>
    <w:p w14:paraId="07814315" w14:textId="77777777" w:rsidR="00696FEB" w:rsidRDefault="00696FEB"/>
    <w:p w14:paraId="03ADF152" w14:textId="430F877E" w:rsidR="00B068D1" w:rsidRDefault="00B068D1">
      <w:r>
        <w:t>Pearson Correlation (r) – measures whether the two locations change together through time. Range, +1 perfect tracking, 0 = no relationship, -1 opposite behaviour</w:t>
      </w:r>
    </w:p>
    <w:p w14:paraId="20F8C685" w14:textId="77777777" w:rsidR="00B068D1" w:rsidRDefault="00B068D1" w:rsidP="00B068D1">
      <w:r>
        <w:t xml:space="preserve">RMSE – root mean square error, measures the typical size of prediction errors. Lower is better. Formula is sqrt(mean(difference^2)). Because differences are squared, large discrepancies are penalized heavily. RMSE of 0.74°C means typical disagreement between Scots Bay and Prince 5 is about 0.74°C. </w:t>
      </w:r>
      <w:r>
        <w:tab/>
      </w:r>
    </w:p>
    <w:p w14:paraId="02E4A500" w14:textId="77777777" w:rsidR="00B068D1" w:rsidRDefault="00B068D1" w:rsidP="00B068D1">
      <w:r>
        <w:t xml:space="preserve">MAE – Mean absolute error, mean(abs(difference)), measures the average absolute difference. Unlike RMSE, it does not heavily weight large discrepancies, for a MAE of 0.548, the average month-year pair differs from Prince 5 by about 0.55°C. </w:t>
      </w:r>
    </w:p>
    <w:p w14:paraId="189AABD2" w14:textId="77777777" w:rsidR="00B068D1" w:rsidRPr="00111598" w:rsidRDefault="00B068D1" w:rsidP="00B068D1">
      <w:r w:rsidRPr="00111598">
        <w:t>because correlations are weak or absent despite reasonable sample sizes (18–27 paired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1502"/>
        <w:gridCol w:w="993"/>
      </w:tblGrid>
      <w:tr w:rsidR="00B068D1" w:rsidRPr="006F4AE3" w14:paraId="1031158A" w14:textId="77777777" w:rsidTr="00631B8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9C2A96" w14:textId="77777777" w:rsidR="00B068D1" w:rsidRPr="006F4AE3" w:rsidRDefault="00B068D1" w:rsidP="00631B8E">
            <w:pPr>
              <w:rPr>
                <w:b/>
                <w:bCs/>
              </w:rPr>
            </w:pPr>
            <w:r w:rsidRPr="006F4AE3">
              <w:rPr>
                <w:b/>
                <w:bCs/>
              </w:rPr>
              <w:t>Variable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1A7BA9" w14:textId="77777777" w:rsidR="00B068D1" w:rsidRPr="006F4AE3" w:rsidRDefault="00B068D1" w:rsidP="00631B8E">
            <w:pPr>
              <w:rPr>
                <w:b/>
                <w:bCs/>
              </w:rPr>
            </w:pPr>
            <w:r w:rsidRPr="006F4AE3">
              <w:rPr>
                <w:b/>
                <w:bCs/>
              </w:rPr>
              <w:t>Ground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06BA98" w14:textId="77777777" w:rsidR="00B068D1" w:rsidRPr="006F4AE3" w:rsidRDefault="00B068D1" w:rsidP="00631B8E">
            <w:pPr>
              <w:rPr>
                <w:b/>
                <w:bCs/>
              </w:rPr>
            </w:pPr>
            <w:r w:rsidRPr="006F4AE3">
              <w:rPr>
                <w:b/>
                <w:bCs/>
              </w:rPr>
              <w:t>r</w:t>
            </w:r>
          </w:p>
        </w:tc>
      </w:tr>
      <w:tr w:rsidR="00B068D1" w:rsidRPr="006F4AE3" w14:paraId="41DE8F8F" w14:textId="77777777" w:rsidTr="00631B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140B13" w14:textId="77777777" w:rsidR="00B068D1" w:rsidRPr="006F4AE3" w:rsidRDefault="00B068D1" w:rsidP="00631B8E">
            <w:r w:rsidRPr="006F4AE3">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F9BDBC" w14:textId="77777777" w:rsidR="00B068D1" w:rsidRPr="006F4AE3" w:rsidRDefault="00B068D1" w:rsidP="00631B8E">
            <w:r w:rsidRPr="006F4AE3">
              <w:t>Scots Bay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08301" w14:textId="77777777" w:rsidR="00B068D1" w:rsidRPr="006F4AE3" w:rsidRDefault="00B068D1" w:rsidP="00631B8E">
            <w:r w:rsidRPr="006F4AE3">
              <w:rPr>
                <w:b/>
                <w:bCs/>
              </w:rPr>
              <w:t>0.938</w:t>
            </w:r>
          </w:p>
        </w:tc>
      </w:tr>
      <w:tr w:rsidR="00B068D1" w:rsidRPr="006F4AE3" w14:paraId="324DDC84" w14:textId="77777777" w:rsidTr="00631B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3644C2" w14:textId="77777777" w:rsidR="00B068D1" w:rsidRPr="006F4AE3" w:rsidRDefault="00B068D1" w:rsidP="00631B8E">
            <w:r w:rsidRPr="006F4AE3">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877DB" w14:textId="77777777" w:rsidR="00B068D1" w:rsidRPr="006F4AE3" w:rsidRDefault="00B068D1" w:rsidP="00631B8E">
            <w:r w:rsidRPr="006F4AE3">
              <w:t>German Bank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1ADAEF" w14:textId="77777777" w:rsidR="00B068D1" w:rsidRPr="006F4AE3" w:rsidRDefault="00B068D1" w:rsidP="00631B8E">
            <w:r w:rsidRPr="006F4AE3">
              <w:rPr>
                <w:b/>
                <w:bCs/>
              </w:rPr>
              <w:t>0.745</w:t>
            </w:r>
          </w:p>
        </w:tc>
      </w:tr>
      <w:tr w:rsidR="00B068D1" w:rsidRPr="006F4AE3" w14:paraId="52AF0C9E" w14:textId="77777777" w:rsidTr="00631B8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1177B0" w14:textId="77777777" w:rsidR="00B068D1" w:rsidRPr="006F4AE3" w:rsidRDefault="00B068D1" w:rsidP="00631B8E">
            <w:r w:rsidRPr="006F4AE3">
              <w:t>Everything else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297C91" w14:textId="77777777" w:rsidR="00B068D1" w:rsidRPr="006F4AE3" w:rsidRDefault="00B068D1" w:rsidP="00631B8E">
            <w:r w:rsidRPr="006F4AE3">
              <w:t>Both grounds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CBA96" w14:textId="77777777" w:rsidR="00B068D1" w:rsidRPr="006F4AE3" w:rsidRDefault="00B068D1" w:rsidP="00631B8E">
            <w:r w:rsidRPr="006F4AE3">
              <w:t>~0 to 0.3</w:t>
            </w:r>
          </w:p>
        </w:tc>
      </w:tr>
    </w:tbl>
    <w:p w14:paraId="4960C881" w14:textId="77777777" w:rsidR="00B068D1" w:rsidRDefault="00B068D1"/>
    <w:p w14:paraId="492749DD" w14:textId="77777777" w:rsidR="00AA2952" w:rsidRDefault="00AA2952"/>
    <w:sectPr w:rsidR="00AA295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DEDE6" w14:textId="77777777" w:rsidR="002960A6" w:rsidRDefault="002960A6" w:rsidP="00E30270">
      <w:pPr>
        <w:spacing w:after="0" w:line="240" w:lineRule="auto"/>
      </w:pPr>
      <w:r>
        <w:separator/>
      </w:r>
    </w:p>
  </w:endnote>
  <w:endnote w:type="continuationSeparator" w:id="0">
    <w:p w14:paraId="4C2E4057" w14:textId="77777777" w:rsidR="002960A6" w:rsidRDefault="002960A6" w:rsidP="00E30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7091E" w14:textId="77777777" w:rsidR="002960A6" w:rsidRDefault="002960A6" w:rsidP="00E30270">
      <w:pPr>
        <w:spacing w:after="0" w:line="240" w:lineRule="auto"/>
      </w:pPr>
      <w:r>
        <w:separator/>
      </w:r>
    </w:p>
  </w:footnote>
  <w:footnote w:type="continuationSeparator" w:id="0">
    <w:p w14:paraId="219BDB51" w14:textId="77777777" w:rsidR="002960A6" w:rsidRDefault="002960A6" w:rsidP="00E30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7C64"/>
    <w:multiLevelType w:val="multilevel"/>
    <w:tmpl w:val="934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18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270"/>
    <w:rsid w:val="00012F28"/>
    <w:rsid w:val="000155E1"/>
    <w:rsid w:val="0005653E"/>
    <w:rsid w:val="00061A73"/>
    <w:rsid w:val="00066016"/>
    <w:rsid w:val="000E31B2"/>
    <w:rsid w:val="000E70CF"/>
    <w:rsid w:val="00111598"/>
    <w:rsid w:val="00117D1A"/>
    <w:rsid w:val="001304D9"/>
    <w:rsid w:val="00151B5D"/>
    <w:rsid w:val="001675E0"/>
    <w:rsid w:val="001B5B14"/>
    <w:rsid w:val="0020685B"/>
    <w:rsid w:val="00235021"/>
    <w:rsid w:val="00251D3C"/>
    <w:rsid w:val="0029246E"/>
    <w:rsid w:val="002960A6"/>
    <w:rsid w:val="002A27CE"/>
    <w:rsid w:val="0030471E"/>
    <w:rsid w:val="00372698"/>
    <w:rsid w:val="0037333E"/>
    <w:rsid w:val="00385401"/>
    <w:rsid w:val="003C33CC"/>
    <w:rsid w:val="003F5EF0"/>
    <w:rsid w:val="00411A28"/>
    <w:rsid w:val="0049732A"/>
    <w:rsid w:val="004C7C95"/>
    <w:rsid w:val="005226BC"/>
    <w:rsid w:val="00561C07"/>
    <w:rsid w:val="005729DE"/>
    <w:rsid w:val="0057402E"/>
    <w:rsid w:val="0058645A"/>
    <w:rsid w:val="005A5AA3"/>
    <w:rsid w:val="005E1718"/>
    <w:rsid w:val="00602D95"/>
    <w:rsid w:val="00662C0B"/>
    <w:rsid w:val="006826E0"/>
    <w:rsid w:val="00696FEB"/>
    <w:rsid w:val="006E3CBF"/>
    <w:rsid w:val="006E5FE9"/>
    <w:rsid w:val="006F1205"/>
    <w:rsid w:val="006F4AE3"/>
    <w:rsid w:val="00856D86"/>
    <w:rsid w:val="008C1097"/>
    <w:rsid w:val="008E32F7"/>
    <w:rsid w:val="008F40C9"/>
    <w:rsid w:val="00962DB5"/>
    <w:rsid w:val="009B7015"/>
    <w:rsid w:val="009C7031"/>
    <w:rsid w:val="009E3217"/>
    <w:rsid w:val="009E65CC"/>
    <w:rsid w:val="00AA2952"/>
    <w:rsid w:val="00AB188A"/>
    <w:rsid w:val="00B004EC"/>
    <w:rsid w:val="00B0305B"/>
    <w:rsid w:val="00B068D1"/>
    <w:rsid w:val="00B11694"/>
    <w:rsid w:val="00B3540D"/>
    <w:rsid w:val="00B66D7C"/>
    <w:rsid w:val="00B676EE"/>
    <w:rsid w:val="00B77CBE"/>
    <w:rsid w:val="00B96C1F"/>
    <w:rsid w:val="00BC2C11"/>
    <w:rsid w:val="00BD0C53"/>
    <w:rsid w:val="00C07834"/>
    <w:rsid w:val="00C17CD1"/>
    <w:rsid w:val="00C248F4"/>
    <w:rsid w:val="00C92516"/>
    <w:rsid w:val="00CA2755"/>
    <w:rsid w:val="00CC0DCA"/>
    <w:rsid w:val="00CE49D1"/>
    <w:rsid w:val="00D87565"/>
    <w:rsid w:val="00E30270"/>
    <w:rsid w:val="00E3679F"/>
    <w:rsid w:val="00E60E36"/>
    <w:rsid w:val="00E67699"/>
    <w:rsid w:val="00E94DBA"/>
    <w:rsid w:val="00EA07B6"/>
    <w:rsid w:val="00EB3120"/>
    <w:rsid w:val="00EB4EBB"/>
    <w:rsid w:val="00F13479"/>
    <w:rsid w:val="00F872BA"/>
    <w:rsid w:val="00F93777"/>
    <w:rsid w:val="00FB4E56"/>
    <w:rsid w:val="00FD30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1C5E8"/>
  <w15:chartTrackingRefBased/>
  <w15:docId w15:val="{6BC80BDB-B631-4C11-BA1A-C8308584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270"/>
    <w:rPr>
      <w:rFonts w:eastAsiaTheme="majorEastAsia" w:cstheme="majorBidi"/>
      <w:color w:val="272727" w:themeColor="text1" w:themeTint="D8"/>
    </w:rPr>
  </w:style>
  <w:style w:type="paragraph" w:styleId="Title">
    <w:name w:val="Title"/>
    <w:basedOn w:val="Normal"/>
    <w:next w:val="Normal"/>
    <w:link w:val="TitleChar"/>
    <w:uiPriority w:val="10"/>
    <w:qFormat/>
    <w:rsid w:val="00E30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270"/>
    <w:pPr>
      <w:spacing w:before="160"/>
      <w:jc w:val="center"/>
    </w:pPr>
    <w:rPr>
      <w:i/>
      <w:iCs/>
      <w:color w:val="404040" w:themeColor="text1" w:themeTint="BF"/>
    </w:rPr>
  </w:style>
  <w:style w:type="character" w:customStyle="1" w:styleId="QuoteChar">
    <w:name w:val="Quote Char"/>
    <w:basedOn w:val="DefaultParagraphFont"/>
    <w:link w:val="Quote"/>
    <w:uiPriority w:val="29"/>
    <w:rsid w:val="00E30270"/>
    <w:rPr>
      <w:i/>
      <w:iCs/>
      <w:color w:val="404040" w:themeColor="text1" w:themeTint="BF"/>
    </w:rPr>
  </w:style>
  <w:style w:type="paragraph" w:styleId="ListParagraph">
    <w:name w:val="List Paragraph"/>
    <w:basedOn w:val="Normal"/>
    <w:uiPriority w:val="34"/>
    <w:qFormat/>
    <w:rsid w:val="00E30270"/>
    <w:pPr>
      <w:ind w:left="720"/>
      <w:contextualSpacing/>
    </w:pPr>
  </w:style>
  <w:style w:type="character" w:styleId="IntenseEmphasis">
    <w:name w:val="Intense Emphasis"/>
    <w:basedOn w:val="DefaultParagraphFont"/>
    <w:uiPriority w:val="21"/>
    <w:qFormat/>
    <w:rsid w:val="00E30270"/>
    <w:rPr>
      <w:i/>
      <w:iCs/>
      <w:color w:val="0F4761" w:themeColor="accent1" w:themeShade="BF"/>
    </w:rPr>
  </w:style>
  <w:style w:type="paragraph" w:styleId="IntenseQuote">
    <w:name w:val="Intense Quote"/>
    <w:basedOn w:val="Normal"/>
    <w:next w:val="Normal"/>
    <w:link w:val="IntenseQuoteChar"/>
    <w:uiPriority w:val="30"/>
    <w:qFormat/>
    <w:rsid w:val="00E30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270"/>
    <w:rPr>
      <w:i/>
      <w:iCs/>
      <w:color w:val="0F4761" w:themeColor="accent1" w:themeShade="BF"/>
    </w:rPr>
  </w:style>
  <w:style w:type="character" w:styleId="IntenseReference">
    <w:name w:val="Intense Reference"/>
    <w:basedOn w:val="DefaultParagraphFont"/>
    <w:uiPriority w:val="32"/>
    <w:qFormat/>
    <w:rsid w:val="00E30270"/>
    <w:rPr>
      <w:b/>
      <w:bCs/>
      <w:smallCaps/>
      <w:color w:val="0F4761" w:themeColor="accent1" w:themeShade="BF"/>
      <w:spacing w:val="5"/>
    </w:rPr>
  </w:style>
  <w:style w:type="paragraph" w:styleId="Header">
    <w:name w:val="header"/>
    <w:basedOn w:val="Normal"/>
    <w:link w:val="HeaderChar"/>
    <w:uiPriority w:val="99"/>
    <w:unhideWhenUsed/>
    <w:rsid w:val="00E30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270"/>
  </w:style>
  <w:style w:type="paragraph" w:styleId="Footer">
    <w:name w:val="footer"/>
    <w:basedOn w:val="Normal"/>
    <w:link w:val="FooterChar"/>
    <w:uiPriority w:val="99"/>
    <w:unhideWhenUsed/>
    <w:rsid w:val="00E30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270"/>
  </w:style>
  <w:style w:type="character" w:styleId="BookTitle">
    <w:name w:val="Book Title"/>
    <w:basedOn w:val="DefaultParagraphFont"/>
    <w:uiPriority w:val="33"/>
    <w:qFormat/>
    <w:rsid w:val="005729DE"/>
    <w:rPr>
      <w:b/>
      <w:bCs/>
      <w:i/>
      <w:iCs/>
      <w:spacing w:val="5"/>
    </w:rPr>
  </w:style>
  <w:style w:type="paragraph" w:styleId="Caption">
    <w:name w:val="caption"/>
    <w:basedOn w:val="Normal"/>
    <w:next w:val="Normal"/>
    <w:uiPriority w:val="35"/>
    <w:semiHidden/>
    <w:unhideWhenUsed/>
    <w:qFormat/>
    <w:rsid w:val="005729DE"/>
    <w:pPr>
      <w:spacing w:after="200" w:line="240" w:lineRule="auto"/>
    </w:pPr>
    <w:rPr>
      <w:i/>
      <w:iCs/>
      <w:color w:val="0E2841" w:themeColor="text2"/>
      <w:sz w:val="18"/>
      <w:szCs w:val="18"/>
    </w:rPr>
  </w:style>
  <w:style w:type="character" w:styleId="Emphasis">
    <w:name w:val="Emphasis"/>
    <w:basedOn w:val="DefaultParagraphFont"/>
    <w:uiPriority w:val="20"/>
    <w:qFormat/>
    <w:rsid w:val="005729DE"/>
    <w:rPr>
      <w:i/>
      <w:iCs/>
    </w:rPr>
  </w:style>
  <w:style w:type="paragraph" w:styleId="NoSpacing">
    <w:name w:val="No Spacing"/>
    <w:uiPriority w:val="1"/>
    <w:qFormat/>
    <w:rsid w:val="005729DE"/>
    <w:pPr>
      <w:spacing w:after="0" w:line="240" w:lineRule="auto"/>
    </w:pPr>
  </w:style>
  <w:style w:type="character" w:styleId="Strong">
    <w:name w:val="Strong"/>
    <w:basedOn w:val="DefaultParagraphFont"/>
    <w:uiPriority w:val="22"/>
    <w:qFormat/>
    <w:rsid w:val="005729DE"/>
    <w:rPr>
      <w:b/>
      <w:bCs/>
    </w:rPr>
  </w:style>
  <w:style w:type="character" w:styleId="SubtleEmphasis">
    <w:name w:val="Subtle Emphasis"/>
    <w:basedOn w:val="DefaultParagraphFont"/>
    <w:uiPriority w:val="19"/>
    <w:qFormat/>
    <w:rsid w:val="005729DE"/>
    <w:rPr>
      <w:i/>
      <w:iCs/>
      <w:color w:val="404040" w:themeColor="text1" w:themeTint="BF"/>
    </w:rPr>
  </w:style>
  <w:style w:type="character" w:styleId="SubtleReference">
    <w:name w:val="Subtle Reference"/>
    <w:basedOn w:val="DefaultParagraphFont"/>
    <w:uiPriority w:val="31"/>
    <w:qFormat/>
    <w:rsid w:val="005729DE"/>
    <w:rPr>
      <w:smallCaps/>
      <w:color w:val="5A5A5A" w:themeColor="text1" w:themeTint="A5"/>
    </w:rPr>
  </w:style>
  <w:style w:type="paragraph" w:styleId="TOCHeading">
    <w:name w:val="TOC Heading"/>
    <w:basedOn w:val="Heading1"/>
    <w:next w:val="Normal"/>
    <w:uiPriority w:val="39"/>
    <w:semiHidden/>
    <w:unhideWhenUsed/>
    <w:qFormat/>
    <w:rsid w:val="005729DE"/>
    <w:pPr>
      <w:spacing w:before="240" w:after="0"/>
      <w:outlineLvl w:val="9"/>
    </w:pPr>
    <w:rPr>
      <w:sz w:val="32"/>
      <w:szCs w:val="32"/>
    </w:rPr>
  </w:style>
  <w:style w:type="character" w:styleId="Hyperlink">
    <w:name w:val="Hyperlink"/>
    <w:basedOn w:val="DefaultParagraphFont"/>
    <w:uiPriority w:val="99"/>
    <w:unhideWhenUsed/>
    <w:rsid w:val="00EB3120"/>
    <w:rPr>
      <w:color w:val="467886" w:themeColor="hyperlink"/>
      <w:u w:val="single"/>
    </w:rPr>
  </w:style>
  <w:style w:type="character" w:styleId="UnresolvedMention">
    <w:name w:val="Unresolved Mention"/>
    <w:basedOn w:val="DefaultParagraphFont"/>
    <w:uiPriority w:val="99"/>
    <w:semiHidden/>
    <w:unhideWhenUsed/>
    <w:rsid w:val="00EB31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8293AED-B9A4-4202-81FA-E8A807DD19E5}" type="doc">
      <dgm:prSet loTypeId="urn:diagrams.loki3.com/BracketList" loCatId="list" qsTypeId="urn:microsoft.com/office/officeart/2005/8/quickstyle/simple1" qsCatId="simple" csTypeId="urn:microsoft.com/office/officeart/2005/8/colors/accent1_2" csCatId="accent1" phldr="1"/>
      <dgm:spPr/>
      <dgm:t>
        <a:bodyPr/>
        <a:lstStyle/>
        <a:p>
          <a:endParaRPr lang="en-CA"/>
        </a:p>
      </dgm:t>
    </dgm:pt>
    <dgm:pt modelId="{0B741B4A-BD07-4C2C-88C2-EF474C468A3A}">
      <dgm:prSet phldrT="[Text]" custT="1"/>
      <dgm:spPr/>
      <dgm:t>
        <a:bodyPr/>
        <a:lstStyle/>
        <a:p>
          <a:r>
            <a:rPr lang="en-CA" sz="1050"/>
            <a:t>CTD2026.R</a:t>
          </a:r>
        </a:p>
      </dgm:t>
    </dgm:pt>
    <dgm:pt modelId="{6F86CFE4-5A45-4647-BC2D-945C317F984C}" type="parTrans" cxnId="{DE4D09C1-715D-4579-A658-AE60EB46D1D7}">
      <dgm:prSet/>
      <dgm:spPr/>
      <dgm:t>
        <a:bodyPr/>
        <a:lstStyle/>
        <a:p>
          <a:endParaRPr lang="en-CA" sz="1050"/>
        </a:p>
      </dgm:t>
    </dgm:pt>
    <dgm:pt modelId="{F5D05F61-71FB-4280-9431-0B24C2FA48B3}" type="sibTrans" cxnId="{DE4D09C1-715D-4579-A658-AE60EB46D1D7}">
      <dgm:prSet/>
      <dgm:spPr/>
      <dgm:t>
        <a:bodyPr/>
        <a:lstStyle/>
        <a:p>
          <a:endParaRPr lang="en-CA" sz="1050"/>
        </a:p>
      </dgm:t>
    </dgm:pt>
    <dgm:pt modelId="{A759F03B-308B-4B19-98DA-959C9E057D5D}">
      <dgm:prSet phldrT="[Text]" custT="1"/>
      <dgm:spPr/>
      <dgm:t>
        <a:bodyPr/>
        <a:lstStyle/>
        <a:p>
          <a:r>
            <a:rPr lang="en-CA" sz="1050"/>
            <a:t>creates dataframe complete with HSC CTD data and historic larval survey data collected within the Scots Bay and German Bank/Seal Island areas.</a:t>
          </a:r>
        </a:p>
      </dgm:t>
    </dgm:pt>
    <dgm:pt modelId="{AC3F545A-24DD-4015-98F5-2C569612895E}" type="parTrans" cxnId="{7BB0193B-E260-4D59-8784-A50D26E40432}">
      <dgm:prSet/>
      <dgm:spPr/>
      <dgm:t>
        <a:bodyPr/>
        <a:lstStyle/>
        <a:p>
          <a:endParaRPr lang="en-CA" sz="1050"/>
        </a:p>
      </dgm:t>
    </dgm:pt>
    <dgm:pt modelId="{1B445801-0A6D-4E7D-B42E-C52341080E8A}" type="sibTrans" cxnId="{7BB0193B-E260-4D59-8784-A50D26E40432}">
      <dgm:prSet/>
      <dgm:spPr/>
      <dgm:t>
        <a:bodyPr/>
        <a:lstStyle/>
        <a:p>
          <a:endParaRPr lang="en-CA" sz="1050"/>
        </a:p>
      </dgm:t>
    </dgm:pt>
    <dgm:pt modelId="{F5A0A371-3868-44ED-8E50-1D5FF5F1E0AD}">
      <dgm:prSet phldrT="[Text]" custT="1"/>
      <dgm:spPr/>
      <dgm:t>
        <a:bodyPr/>
        <a:lstStyle/>
        <a:p>
          <a:r>
            <a:rPr lang="en-CA" sz="1050"/>
            <a:t>.ncExtract.R</a:t>
          </a:r>
        </a:p>
      </dgm:t>
    </dgm:pt>
    <dgm:pt modelId="{CF802B30-A559-44E9-A5E5-A101E853C272}" type="parTrans" cxnId="{0FE8D510-7F90-4B89-B08C-0DAF56012751}">
      <dgm:prSet/>
      <dgm:spPr/>
      <dgm:t>
        <a:bodyPr/>
        <a:lstStyle/>
        <a:p>
          <a:endParaRPr lang="en-CA" sz="1050"/>
        </a:p>
      </dgm:t>
    </dgm:pt>
    <dgm:pt modelId="{88CD5AA5-C3F1-413C-A782-54FFC1FF6B57}" type="sibTrans" cxnId="{0FE8D510-7F90-4B89-B08C-0DAF56012751}">
      <dgm:prSet/>
      <dgm:spPr/>
      <dgm:t>
        <a:bodyPr/>
        <a:lstStyle/>
        <a:p>
          <a:endParaRPr lang="en-CA" sz="1050"/>
        </a:p>
      </dgm:t>
    </dgm:pt>
    <dgm:pt modelId="{E9964C53-007A-4D05-93F8-E38C964A3A82}">
      <dgm:prSet phldrT="[Text]" custT="1"/>
      <dgm:spPr/>
      <dgm:t>
        <a:bodyPr/>
        <a:lstStyle/>
        <a:p>
          <a:r>
            <a:rPr lang="en-CA" sz="1050"/>
            <a:t>brings in data from the CASTS site and creates a dataframe of CTD data that was either classified as the Prince 5 station, or other DFO data collections on the Scots Bay and German Bank/Seal Island area that can be combined with the HSC data to increase the sample size</a:t>
          </a:r>
        </a:p>
      </dgm:t>
    </dgm:pt>
    <dgm:pt modelId="{979BE209-76AD-46C0-8CAE-820F033D4EEF}" type="parTrans" cxnId="{7D0BC3DD-35BA-46F3-A378-46805641548F}">
      <dgm:prSet/>
      <dgm:spPr/>
      <dgm:t>
        <a:bodyPr/>
        <a:lstStyle/>
        <a:p>
          <a:endParaRPr lang="en-CA" sz="1050"/>
        </a:p>
      </dgm:t>
    </dgm:pt>
    <dgm:pt modelId="{273C1B75-5359-450A-A4A2-C9777925F0E1}" type="sibTrans" cxnId="{7D0BC3DD-35BA-46F3-A378-46805641548F}">
      <dgm:prSet/>
      <dgm:spPr/>
      <dgm:t>
        <a:bodyPr/>
        <a:lstStyle/>
        <a:p>
          <a:endParaRPr lang="en-CA" sz="1050"/>
        </a:p>
      </dgm:t>
    </dgm:pt>
    <dgm:pt modelId="{64A7155B-956C-4413-A985-03F4EBA925E9}">
      <dgm:prSet phldrT="[Text]" custT="1"/>
      <dgm:spPr/>
      <dgm:t>
        <a:bodyPr/>
        <a:lstStyle/>
        <a:p>
          <a:r>
            <a:rPr lang="en-CA" sz="1050"/>
            <a:t>rerdapp.R</a:t>
          </a:r>
        </a:p>
      </dgm:t>
    </dgm:pt>
    <dgm:pt modelId="{AA3DD843-D107-4103-A9F5-6D2B7627CD2C}" type="parTrans" cxnId="{E034D399-7E08-49D4-B0D7-80FA41EEEAB8}">
      <dgm:prSet/>
      <dgm:spPr/>
      <dgm:t>
        <a:bodyPr/>
        <a:lstStyle/>
        <a:p>
          <a:endParaRPr lang="en-CA" sz="1050"/>
        </a:p>
      </dgm:t>
    </dgm:pt>
    <dgm:pt modelId="{C6E11703-7278-45D0-805F-0A9441A2BF75}" type="sibTrans" cxnId="{E034D399-7E08-49D4-B0D7-80FA41EEEAB8}">
      <dgm:prSet/>
      <dgm:spPr/>
      <dgm:t>
        <a:bodyPr/>
        <a:lstStyle/>
        <a:p>
          <a:endParaRPr lang="en-CA" sz="1050"/>
        </a:p>
      </dgm:t>
    </dgm:pt>
    <dgm:pt modelId="{6C648368-6261-45FF-A5C9-58BB9117215C}">
      <dgm:prSet phldrT="[Text]" custT="1"/>
      <dgm:spPr/>
      <dgm:t>
        <a:bodyPr/>
        <a:lstStyle/>
        <a:p>
          <a:r>
            <a:rPr lang="en-CA" sz="1050"/>
            <a:t>Downloads the 2024 Prince 5 data from the CIOOS site and </a:t>
          </a:r>
          <a:r>
            <a:rPr lang="en-CA" sz="1050" b="0" i="0"/>
            <a:t>Maritimes Region Atlantic Zone Monitoring Program (AZMP) Rosette Vertical Profiles dataset</a:t>
          </a:r>
          <a:endParaRPr lang="en-CA" sz="1050"/>
        </a:p>
      </dgm:t>
    </dgm:pt>
    <dgm:pt modelId="{B54B44ED-7D93-4C4E-B854-CAA1484D4A0E}" type="parTrans" cxnId="{87D98606-9908-4F1A-AD2D-9E404AC4962B}">
      <dgm:prSet/>
      <dgm:spPr/>
      <dgm:t>
        <a:bodyPr/>
        <a:lstStyle/>
        <a:p>
          <a:endParaRPr lang="en-CA" sz="1050"/>
        </a:p>
      </dgm:t>
    </dgm:pt>
    <dgm:pt modelId="{3CD8D468-CFE9-4811-A023-BD9B78E63EB1}" type="sibTrans" cxnId="{87D98606-9908-4F1A-AD2D-9E404AC4962B}">
      <dgm:prSet/>
      <dgm:spPr/>
      <dgm:t>
        <a:bodyPr/>
        <a:lstStyle/>
        <a:p>
          <a:endParaRPr lang="en-CA" sz="1050"/>
        </a:p>
      </dgm:t>
    </dgm:pt>
    <dgm:pt modelId="{E61A77B8-66EE-4C73-99AB-CA85AC13807C}">
      <dgm:prSet phldrT="[Text]" custT="1"/>
      <dgm:spPr/>
      <dgm:t>
        <a:bodyPr/>
        <a:lstStyle/>
        <a:p>
          <a:r>
            <a:rPr lang="en-CA" sz="1050" i="1"/>
            <a:t>Need to figure out how to get this dataset in the same form as above (gives a downwards and upwards cast rather than just one as when using CASTS)</a:t>
          </a:r>
        </a:p>
      </dgm:t>
    </dgm:pt>
    <dgm:pt modelId="{2197A981-3CC0-4887-81F5-1B3B2618137D}" type="parTrans" cxnId="{78AB24BD-6742-4123-A479-85CE63B131BD}">
      <dgm:prSet/>
      <dgm:spPr/>
      <dgm:t>
        <a:bodyPr/>
        <a:lstStyle/>
        <a:p>
          <a:endParaRPr lang="en-CA" sz="1050"/>
        </a:p>
      </dgm:t>
    </dgm:pt>
    <dgm:pt modelId="{424374F8-0274-4E54-9183-49A3B6455F16}" type="sibTrans" cxnId="{78AB24BD-6742-4123-A479-85CE63B131BD}">
      <dgm:prSet/>
      <dgm:spPr/>
      <dgm:t>
        <a:bodyPr/>
        <a:lstStyle/>
        <a:p>
          <a:endParaRPr lang="en-CA" sz="1050"/>
        </a:p>
      </dgm:t>
    </dgm:pt>
    <dgm:pt modelId="{B9ED0B48-948D-421B-83A1-6709A1C161D4}">
      <dgm:prSet phldrT="[Text]" custT="1"/>
      <dgm:spPr/>
      <dgm:t>
        <a:bodyPr/>
        <a:lstStyle/>
        <a:p>
          <a:r>
            <a:rPr lang="en-CA" sz="1050"/>
            <a:t>For Prince 5 this includes data from 2017 to 2023</a:t>
          </a:r>
        </a:p>
      </dgm:t>
    </dgm:pt>
    <dgm:pt modelId="{7C73FDCD-9676-49EE-BDC5-72A49A315A45}" type="parTrans" cxnId="{5399BE64-206A-4F5B-9C64-71FCE287D3B0}">
      <dgm:prSet/>
      <dgm:spPr/>
    </dgm:pt>
    <dgm:pt modelId="{E02078BF-3D83-41C9-A360-D4A31433AD71}" type="sibTrans" cxnId="{5399BE64-206A-4F5B-9C64-71FCE287D3B0}">
      <dgm:prSet/>
      <dgm:spPr/>
    </dgm:pt>
    <dgm:pt modelId="{545C2918-73EE-4BFD-AD5F-E11BE7BD0CC0}" type="pres">
      <dgm:prSet presAssocID="{F8293AED-B9A4-4202-81FA-E8A807DD19E5}" presName="Name0" presStyleCnt="0">
        <dgm:presLayoutVars>
          <dgm:dir/>
          <dgm:animLvl val="lvl"/>
          <dgm:resizeHandles val="exact"/>
        </dgm:presLayoutVars>
      </dgm:prSet>
      <dgm:spPr/>
    </dgm:pt>
    <dgm:pt modelId="{115AB0B8-144B-413B-9B96-D1A796317916}" type="pres">
      <dgm:prSet presAssocID="{0B741B4A-BD07-4C2C-88C2-EF474C468A3A}" presName="linNode" presStyleCnt="0"/>
      <dgm:spPr/>
    </dgm:pt>
    <dgm:pt modelId="{06787B96-D107-4B50-BB4C-512E71CC2EA5}" type="pres">
      <dgm:prSet presAssocID="{0B741B4A-BD07-4C2C-88C2-EF474C468A3A}" presName="parTx" presStyleLbl="revTx" presStyleIdx="0" presStyleCnt="3">
        <dgm:presLayoutVars>
          <dgm:chMax val="1"/>
          <dgm:bulletEnabled val="1"/>
        </dgm:presLayoutVars>
      </dgm:prSet>
      <dgm:spPr/>
    </dgm:pt>
    <dgm:pt modelId="{79D22151-365E-4F04-A9C0-B2862C0DBC9D}" type="pres">
      <dgm:prSet presAssocID="{0B741B4A-BD07-4C2C-88C2-EF474C468A3A}" presName="bracket" presStyleLbl="parChTrans1D1" presStyleIdx="0" presStyleCnt="3"/>
      <dgm:spPr/>
    </dgm:pt>
    <dgm:pt modelId="{178775C5-D22E-4AAE-883E-511F86C0B9FF}" type="pres">
      <dgm:prSet presAssocID="{0B741B4A-BD07-4C2C-88C2-EF474C468A3A}" presName="spH" presStyleCnt="0"/>
      <dgm:spPr/>
    </dgm:pt>
    <dgm:pt modelId="{D1952F0C-E215-4394-8424-72C2AA7CC6E2}" type="pres">
      <dgm:prSet presAssocID="{0B741B4A-BD07-4C2C-88C2-EF474C468A3A}" presName="desTx" presStyleLbl="node1" presStyleIdx="0" presStyleCnt="3">
        <dgm:presLayoutVars>
          <dgm:bulletEnabled val="1"/>
        </dgm:presLayoutVars>
      </dgm:prSet>
      <dgm:spPr/>
    </dgm:pt>
    <dgm:pt modelId="{0A6E0E9D-6638-4FF9-90EE-ACC3DD6C0511}" type="pres">
      <dgm:prSet presAssocID="{F5D05F61-71FB-4280-9431-0B24C2FA48B3}" presName="spV" presStyleCnt="0"/>
      <dgm:spPr/>
    </dgm:pt>
    <dgm:pt modelId="{82893103-8D06-4F43-A037-05DB90A479EE}" type="pres">
      <dgm:prSet presAssocID="{F5A0A371-3868-44ED-8E50-1D5FF5F1E0AD}" presName="linNode" presStyleCnt="0"/>
      <dgm:spPr/>
    </dgm:pt>
    <dgm:pt modelId="{B5E3E2AF-A572-43D0-8C15-207B79A92662}" type="pres">
      <dgm:prSet presAssocID="{F5A0A371-3868-44ED-8E50-1D5FF5F1E0AD}" presName="parTx" presStyleLbl="revTx" presStyleIdx="1" presStyleCnt="3">
        <dgm:presLayoutVars>
          <dgm:chMax val="1"/>
          <dgm:bulletEnabled val="1"/>
        </dgm:presLayoutVars>
      </dgm:prSet>
      <dgm:spPr/>
    </dgm:pt>
    <dgm:pt modelId="{4FF43A53-3DA8-4CFC-A402-E663CF2F04C3}" type="pres">
      <dgm:prSet presAssocID="{F5A0A371-3868-44ED-8E50-1D5FF5F1E0AD}" presName="bracket" presStyleLbl="parChTrans1D1" presStyleIdx="1" presStyleCnt="3"/>
      <dgm:spPr/>
    </dgm:pt>
    <dgm:pt modelId="{54D59365-40D9-4A8F-93F7-A4C53298F691}" type="pres">
      <dgm:prSet presAssocID="{F5A0A371-3868-44ED-8E50-1D5FF5F1E0AD}" presName="spH" presStyleCnt="0"/>
      <dgm:spPr/>
    </dgm:pt>
    <dgm:pt modelId="{B8A45921-2C5B-4464-841D-5D5AEF216018}" type="pres">
      <dgm:prSet presAssocID="{F5A0A371-3868-44ED-8E50-1D5FF5F1E0AD}" presName="desTx" presStyleLbl="node1" presStyleIdx="1" presStyleCnt="3">
        <dgm:presLayoutVars>
          <dgm:bulletEnabled val="1"/>
        </dgm:presLayoutVars>
      </dgm:prSet>
      <dgm:spPr/>
    </dgm:pt>
    <dgm:pt modelId="{3DE07A94-1859-4A36-AE35-F84A33D352A9}" type="pres">
      <dgm:prSet presAssocID="{88CD5AA5-C3F1-413C-A782-54FFC1FF6B57}" presName="spV" presStyleCnt="0"/>
      <dgm:spPr/>
    </dgm:pt>
    <dgm:pt modelId="{D4AD5C5B-C228-47E2-BAC4-AE37E8BEB5DE}" type="pres">
      <dgm:prSet presAssocID="{64A7155B-956C-4413-A985-03F4EBA925E9}" presName="linNode" presStyleCnt="0"/>
      <dgm:spPr/>
    </dgm:pt>
    <dgm:pt modelId="{8BB60D3E-FB86-4F6F-B1D8-C44BAAB50A38}" type="pres">
      <dgm:prSet presAssocID="{64A7155B-956C-4413-A985-03F4EBA925E9}" presName="parTx" presStyleLbl="revTx" presStyleIdx="2" presStyleCnt="3">
        <dgm:presLayoutVars>
          <dgm:chMax val="1"/>
          <dgm:bulletEnabled val="1"/>
        </dgm:presLayoutVars>
      </dgm:prSet>
      <dgm:spPr/>
    </dgm:pt>
    <dgm:pt modelId="{14F98FF1-4158-4210-8D48-AACF65D1D83A}" type="pres">
      <dgm:prSet presAssocID="{64A7155B-956C-4413-A985-03F4EBA925E9}" presName="bracket" presStyleLbl="parChTrans1D1" presStyleIdx="2" presStyleCnt="3"/>
      <dgm:spPr/>
    </dgm:pt>
    <dgm:pt modelId="{6EA7469A-D461-4D52-B600-50169920DC2D}" type="pres">
      <dgm:prSet presAssocID="{64A7155B-956C-4413-A985-03F4EBA925E9}" presName="spH" presStyleCnt="0"/>
      <dgm:spPr/>
    </dgm:pt>
    <dgm:pt modelId="{8E5DF453-1A2E-445C-9157-A7FD19744361}" type="pres">
      <dgm:prSet presAssocID="{64A7155B-956C-4413-A985-03F4EBA925E9}" presName="desTx" presStyleLbl="node1" presStyleIdx="2" presStyleCnt="3">
        <dgm:presLayoutVars>
          <dgm:bulletEnabled val="1"/>
        </dgm:presLayoutVars>
      </dgm:prSet>
      <dgm:spPr/>
    </dgm:pt>
  </dgm:ptLst>
  <dgm:cxnLst>
    <dgm:cxn modelId="{87D98606-9908-4F1A-AD2D-9E404AC4962B}" srcId="{64A7155B-956C-4413-A985-03F4EBA925E9}" destId="{6C648368-6261-45FF-A5C9-58BB9117215C}" srcOrd="0" destOrd="0" parTransId="{B54B44ED-7D93-4C4E-B854-CAA1484D4A0E}" sibTransId="{3CD8D468-CFE9-4811-A023-BD9B78E63EB1}"/>
    <dgm:cxn modelId="{0FE8D510-7F90-4B89-B08C-0DAF56012751}" srcId="{F8293AED-B9A4-4202-81FA-E8A807DD19E5}" destId="{F5A0A371-3868-44ED-8E50-1D5FF5F1E0AD}" srcOrd="1" destOrd="0" parTransId="{CF802B30-A559-44E9-A5E5-A101E853C272}" sibTransId="{88CD5AA5-C3F1-413C-A782-54FFC1FF6B57}"/>
    <dgm:cxn modelId="{E6818413-D172-4110-A939-A54A230015CD}" type="presOf" srcId="{64A7155B-956C-4413-A985-03F4EBA925E9}" destId="{8BB60D3E-FB86-4F6F-B1D8-C44BAAB50A38}" srcOrd="0" destOrd="0" presId="urn:diagrams.loki3.com/BracketList"/>
    <dgm:cxn modelId="{7BB0193B-E260-4D59-8784-A50D26E40432}" srcId="{0B741B4A-BD07-4C2C-88C2-EF474C468A3A}" destId="{A759F03B-308B-4B19-98DA-959C9E057D5D}" srcOrd="0" destOrd="0" parTransId="{AC3F545A-24DD-4015-98F5-2C569612895E}" sibTransId="{1B445801-0A6D-4E7D-B42E-C52341080E8A}"/>
    <dgm:cxn modelId="{C220B95B-21EB-4CBE-857C-3EB58BC3B393}" type="presOf" srcId="{A759F03B-308B-4B19-98DA-959C9E057D5D}" destId="{D1952F0C-E215-4394-8424-72C2AA7CC6E2}" srcOrd="0" destOrd="0" presId="urn:diagrams.loki3.com/BracketList"/>
    <dgm:cxn modelId="{A834FD42-EA67-4E17-BA48-9F098FF16507}" type="presOf" srcId="{E9964C53-007A-4D05-93F8-E38C964A3A82}" destId="{B8A45921-2C5B-4464-841D-5D5AEF216018}" srcOrd="0" destOrd="0" presId="urn:diagrams.loki3.com/BracketList"/>
    <dgm:cxn modelId="{42C63643-17EA-41E2-B996-DB105CEECDD9}" type="presOf" srcId="{F5A0A371-3868-44ED-8E50-1D5FF5F1E0AD}" destId="{B5E3E2AF-A572-43D0-8C15-207B79A92662}" srcOrd="0" destOrd="0" presId="urn:diagrams.loki3.com/BracketList"/>
    <dgm:cxn modelId="{1C3A5B43-9AEB-4ED3-927E-F4F74886DDB8}" type="presOf" srcId="{6C648368-6261-45FF-A5C9-58BB9117215C}" destId="{8E5DF453-1A2E-445C-9157-A7FD19744361}" srcOrd="0" destOrd="0" presId="urn:diagrams.loki3.com/BracketList"/>
    <dgm:cxn modelId="{5399BE64-206A-4F5B-9C64-71FCE287D3B0}" srcId="{F5A0A371-3868-44ED-8E50-1D5FF5F1E0AD}" destId="{B9ED0B48-948D-421B-83A1-6709A1C161D4}" srcOrd="1" destOrd="0" parTransId="{7C73FDCD-9676-49EE-BDC5-72A49A315A45}" sibTransId="{E02078BF-3D83-41C9-A360-D4A31433AD71}"/>
    <dgm:cxn modelId="{CF193355-6888-4B01-ABC0-84C5AA4C7957}" type="presOf" srcId="{0B741B4A-BD07-4C2C-88C2-EF474C468A3A}" destId="{06787B96-D107-4B50-BB4C-512E71CC2EA5}" srcOrd="0" destOrd="0" presId="urn:diagrams.loki3.com/BracketList"/>
    <dgm:cxn modelId="{C2C3D785-7533-4AFC-977F-519B77419EB8}" type="presOf" srcId="{E61A77B8-66EE-4C73-99AB-CA85AC13807C}" destId="{8E5DF453-1A2E-445C-9157-A7FD19744361}" srcOrd="0" destOrd="1" presId="urn:diagrams.loki3.com/BracketList"/>
    <dgm:cxn modelId="{E034D399-7E08-49D4-B0D7-80FA41EEEAB8}" srcId="{F8293AED-B9A4-4202-81FA-E8A807DD19E5}" destId="{64A7155B-956C-4413-A985-03F4EBA925E9}" srcOrd="2" destOrd="0" parTransId="{AA3DD843-D107-4103-A9F5-6D2B7627CD2C}" sibTransId="{C6E11703-7278-45D0-805F-0A9441A2BF75}"/>
    <dgm:cxn modelId="{78AB24BD-6742-4123-A479-85CE63B131BD}" srcId="{64A7155B-956C-4413-A985-03F4EBA925E9}" destId="{E61A77B8-66EE-4C73-99AB-CA85AC13807C}" srcOrd="1" destOrd="0" parTransId="{2197A981-3CC0-4887-81F5-1B3B2618137D}" sibTransId="{424374F8-0274-4E54-9183-49A3B6455F16}"/>
    <dgm:cxn modelId="{DE4D09C1-715D-4579-A658-AE60EB46D1D7}" srcId="{F8293AED-B9A4-4202-81FA-E8A807DD19E5}" destId="{0B741B4A-BD07-4C2C-88C2-EF474C468A3A}" srcOrd="0" destOrd="0" parTransId="{6F86CFE4-5A45-4647-BC2D-945C317F984C}" sibTransId="{F5D05F61-71FB-4280-9431-0B24C2FA48B3}"/>
    <dgm:cxn modelId="{0F4AAFD7-D65C-4FCA-B5B6-C81B56425F2A}" type="presOf" srcId="{F8293AED-B9A4-4202-81FA-E8A807DD19E5}" destId="{545C2918-73EE-4BFD-AD5F-E11BE7BD0CC0}" srcOrd="0" destOrd="0" presId="urn:diagrams.loki3.com/BracketList"/>
    <dgm:cxn modelId="{95FF00DD-6060-4981-B2BB-1AAA51B7BEFE}" type="presOf" srcId="{B9ED0B48-948D-421B-83A1-6709A1C161D4}" destId="{B8A45921-2C5B-4464-841D-5D5AEF216018}" srcOrd="0" destOrd="1" presId="urn:diagrams.loki3.com/BracketList"/>
    <dgm:cxn modelId="{7D0BC3DD-35BA-46F3-A378-46805641548F}" srcId="{F5A0A371-3868-44ED-8E50-1D5FF5F1E0AD}" destId="{E9964C53-007A-4D05-93F8-E38C964A3A82}" srcOrd="0" destOrd="0" parTransId="{979BE209-76AD-46C0-8CAE-820F033D4EEF}" sibTransId="{273C1B75-5359-450A-A4A2-C9777925F0E1}"/>
    <dgm:cxn modelId="{A4B0C764-A8AB-48F9-95FF-769FF31EF459}" type="presParOf" srcId="{545C2918-73EE-4BFD-AD5F-E11BE7BD0CC0}" destId="{115AB0B8-144B-413B-9B96-D1A796317916}" srcOrd="0" destOrd="0" presId="urn:diagrams.loki3.com/BracketList"/>
    <dgm:cxn modelId="{DF034D59-D62A-4CE9-9EF9-99D98DC70CD8}" type="presParOf" srcId="{115AB0B8-144B-413B-9B96-D1A796317916}" destId="{06787B96-D107-4B50-BB4C-512E71CC2EA5}" srcOrd="0" destOrd="0" presId="urn:diagrams.loki3.com/BracketList"/>
    <dgm:cxn modelId="{81A3E789-C04D-4143-812F-35A1E2E38B29}" type="presParOf" srcId="{115AB0B8-144B-413B-9B96-D1A796317916}" destId="{79D22151-365E-4F04-A9C0-B2862C0DBC9D}" srcOrd="1" destOrd="0" presId="urn:diagrams.loki3.com/BracketList"/>
    <dgm:cxn modelId="{89559D46-535F-4650-96C3-B3B7FDF1812C}" type="presParOf" srcId="{115AB0B8-144B-413B-9B96-D1A796317916}" destId="{178775C5-D22E-4AAE-883E-511F86C0B9FF}" srcOrd="2" destOrd="0" presId="urn:diagrams.loki3.com/BracketList"/>
    <dgm:cxn modelId="{438BC36F-30C6-4D91-B496-D8505FB971E8}" type="presParOf" srcId="{115AB0B8-144B-413B-9B96-D1A796317916}" destId="{D1952F0C-E215-4394-8424-72C2AA7CC6E2}" srcOrd="3" destOrd="0" presId="urn:diagrams.loki3.com/BracketList"/>
    <dgm:cxn modelId="{E63B1DAC-8078-428F-AF4D-49CB0A873D82}" type="presParOf" srcId="{545C2918-73EE-4BFD-AD5F-E11BE7BD0CC0}" destId="{0A6E0E9D-6638-4FF9-90EE-ACC3DD6C0511}" srcOrd="1" destOrd="0" presId="urn:diagrams.loki3.com/BracketList"/>
    <dgm:cxn modelId="{207D5CBF-B491-44FD-B661-53978856D9C6}" type="presParOf" srcId="{545C2918-73EE-4BFD-AD5F-E11BE7BD0CC0}" destId="{82893103-8D06-4F43-A037-05DB90A479EE}" srcOrd="2" destOrd="0" presId="urn:diagrams.loki3.com/BracketList"/>
    <dgm:cxn modelId="{32CA43AC-8AD6-4591-904A-0175E916A36C}" type="presParOf" srcId="{82893103-8D06-4F43-A037-05DB90A479EE}" destId="{B5E3E2AF-A572-43D0-8C15-207B79A92662}" srcOrd="0" destOrd="0" presId="urn:diagrams.loki3.com/BracketList"/>
    <dgm:cxn modelId="{ECD8A639-C7F8-42AE-AE40-294A5750AA95}" type="presParOf" srcId="{82893103-8D06-4F43-A037-05DB90A479EE}" destId="{4FF43A53-3DA8-4CFC-A402-E663CF2F04C3}" srcOrd="1" destOrd="0" presId="urn:diagrams.loki3.com/BracketList"/>
    <dgm:cxn modelId="{C08A7439-4906-4B91-B290-6AF395575BFA}" type="presParOf" srcId="{82893103-8D06-4F43-A037-05DB90A479EE}" destId="{54D59365-40D9-4A8F-93F7-A4C53298F691}" srcOrd="2" destOrd="0" presId="urn:diagrams.loki3.com/BracketList"/>
    <dgm:cxn modelId="{19244B7E-6027-4AC8-9C5D-21A7593E8071}" type="presParOf" srcId="{82893103-8D06-4F43-A037-05DB90A479EE}" destId="{B8A45921-2C5B-4464-841D-5D5AEF216018}" srcOrd="3" destOrd="0" presId="urn:diagrams.loki3.com/BracketList"/>
    <dgm:cxn modelId="{B7519032-83FF-4960-8EE7-4F6882909455}" type="presParOf" srcId="{545C2918-73EE-4BFD-AD5F-E11BE7BD0CC0}" destId="{3DE07A94-1859-4A36-AE35-F84A33D352A9}" srcOrd="3" destOrd="0" presId="urn:diagrams.loki3.com/BracketList"/>
    <dgm:cxn modelId="{B8A4B694-FD61-4ABB-9937-9727A1833C8C}" type="presParOf" srcId="{545C2918-73EE-4BFD-AD5F-E11BE7BD0CC0}" destId="{D4AD5C5B-C228-47E2-BAC4-AE37E8BEB5DE}" srcOrd="4" destOrd="0" presId="urn:diagrams.loki3.com/BracketList"/>
    <dgm:cxn modelId="{A2A213C5-E309-41CF-A35B-6477D4283E28}" type="presParOf" srcId="{D4AD5C5B-C228-47E2-BAC4-AE37E8BEB5DE}" destId="{8BB60D3E-FB86-4F6F-B1D8-C44BAAB50A38}" srcOrd="0" destOrd="0" presId="urn:diagrams.loki3.com/BracketList"/>
    <dgm:cxn modelId="{EB3CEAB3-25AF-4630-8509-D23835332D2A}" type="presParOf" srcId="{D4AD5C5B-C228-47E2-BAC4-AE37E8BEB5DE}" destId="{14F98FF1-4158-4210-8D48-AACF65D1D83A}" srcOrd="1" destOrd="0" presId="urn:diagrams.loki3.com/BracketList"/>
    <dgm:cxn modelId="{D02A39B0-4E97-4E8F-BB4E-CC515AD9343C}" type="presParOf" srcId="{D4AD5C5B-C228-47E2-BAC4-AE37E8BEB5DE}" destId="{6EA7469A-D461-4D52-B600-50169920DC2D}" srcOrd="2" destOrd="0" presId="urn:diagrams.loki3.com/BracketList"/>
    <dgm:cxn modelId="{46C9AF68-01BC-4E67-A44E-D4FA9EFEA0D1}" type="presParOf" srcId="{D4AD5C5B-C228-47E2-BAC4-AE37E8BEB5DE}" destId="{8E5DF453-1A2E-445C-9157-A7FD19744361}" srcOrd="3" destOrd="0" presId="urn:diagrams.loki3.com/Bracket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787B96-D107-4B50-BB4C-512E71CC2EA5}">
      <dsp:nvSpPr>
        <dsp:cNvPr id="0" name=""/>
        <dsp:cNvSpPr/>
      </dsp:nvSpPr>
      <dsp:spPr>
        <a:xfrm>
          <a:off x="0" y="8662"/>
          <a:ext cx="1371600" cy="851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27940" rIns="78232" bIns="27940" numCol="1" spcCol="1270" anchor="ctr" anchorCtr="0">
          <a:noAutofit/>
        </a:bodyPr>
        <a:lstStyle/>
        <a:p>
          <a:pPr marL="0" lvl="0" indent="0" algn="r" defTabSz="466725">
            <a:lnSpc>
              <a:spcPct val="90000"/>
            </a:lnSpc>
            <a:spcBef>
              <a:spcPct val="0"/>
            </a:spcBef>
            <a:spcAft>
              <a:spcPct val="35000"/>
            </a:spcAft>
            <a:buNone/>
          </a:pPr>
          <a:r>
            <a:rPr lang="en-CA" sz="1050" kern="1200"/>
            <a:t>CTD2026.R</a:t>
          </a:r>
        </a:p>
      </dsp:txBody>
      <dsp:txXfrm>
        <a:off x="0" y="8662"/>
        <a:ext cx="1371600" cy="851400"/>
      </dsp:txXfrm>
    </dsp:sp>
    <dsp:sp modelId="{79D22151-365E-4F04-A9C0-B2862C0DBC9D}">
      <dsp:nvSpPr>
        <dsp:cNvPr id="0" name=""/>
        <dsp:cNvSpPr/>
      </dsp:nvSpPr>
      <dsp:spPr>
        <a:xfrm>
          <a:off x="1371599" y="8662"/>
          <a:ext cx="274320" cy="851400"/>
        </a:xfrm>
        <a:prstGeom prst="leftBrace">
          <a:avLst>
            <a:gd name="adj1" fmla="val 35000"/>
            <a:gd name="adj2" fmla="val 5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952F0C-E215-4394-8424-72C2AA7CC6E2}">
      <dsp:nvSpPr>
        <dsp:cNvPr id="0" name=""/>
        <dsp:cNvSpPr/>
      </dsp:nvSpPr>
      <dsp:spPr>
        <a:xfrm>
          <a:off x="1755647" y="8662"/>
          <a:ext cx="3730752" cy="8514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57150" lvl="1" indent="-57150" algn="l" defTabSz="466725">
            <a:lnSpc>
              <a:spcPct val="90000"/>
            </a:lnSpc>
            <a:spcBef>
              <a:spcPct val="0"/>
            </a:spcBef>
            <a:spcAft>
              <a:spcPct val="15000"/>
            </a:spcAft>
            <a:buChar char="•"/>
          </a:pPr>
          <a:r>
            <a:rPr lang="en-CA" sz="1050" kern="1200"/>
            <a:t>creates dataframe complete with HSC CTD data and historic larval survey data collected within the Scots Bay and German Bank/Seal Island areas.</a:t>
          </a:r>
        </a:p>
      </dsp:txBody>
      <dsp:txXfrm>
        <a:off x="1755647" y="8662"/>
        <a:ext cx="3730752" cy="851400"/>
      </dsp:txXfrm>
    </dsp:sp>
    <dsp:sp modelId="{B5E3E2AF-A572-43D0-8C15-207B79A92662}">
      <dsp:nvSpPr>
        <dsp:cNvPr id="0" name=""/>
        <dsp:cNvSpPr/>
      </dsp:nvSpPr>
      <dsp:spPr>
        <a:xfrm>
          <a:off x="0" y="1094681"/>
          <a:ext cx="1371600" cy="851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27940" rIns="78232" bIns="27940" numCol="1" spcCol="1270" anchor="ctr" anchorCtr="0">
          <a:noAutofit/>
        </a:bodyPr>
        <a:lstStyle/>
        <a:p>
          <a:pPr marL="0" lvl="0" indent="0" algn="r" defTabSz="466725">
            <a:lnSpc>
              <a:spcPct val="90000"/>
            </a:lnSpc>
            <a:spcBef>
              <a:spcPct val="0"/>
            </a:spcBef>
            <a:spcAft>
              <a:spcPct val="35000"/>
            </a:spcAft>
            <a:buNone/>
          </a:pPr>
          <a:r>
            <a:rPr lang="en-CA" sz="1050" kern="1200"/>
            <a:t>.ncExtract.R</a:t>
          </a:r>
        </a:p>
      </dsp:txBody>
      <dsp:txXfrm>
        <a:off x="0" y="1094681"/>
        <a:ext cx="1371600" cy="851400"/>
      </dsp:txXfrm>
    </dsp:sp>
    <dsp:sp modelId="{4FF43A53-3DA8-4CFC-A402-E663CF2F04C3}">
      <dsp:nvSpPr>
        <dsp:cNvPr id="0" name=""/>
        <dsp:cNvSpPr/>
      </dsp:nvSpPr>
      <dsp:spPr>
        <a:xfrm>
          <a:off x="1371599" y="1014862"/>
          <a:ext cx="274320" cy="1011037"/>
        </a:xfrm>
        <a:prstGeom prst="leftBrace">
          <a:avLst>
            <a:gd name="adj1" fmla="val 35000"/>
            <a:gd name="adj2" fmla="val 5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A45921-2C5B-4464-841D-5D5AEF216018}">
      <dsp:nvSpPr>
        <dsp:cNvPr id="0" name=""/>
        <dsp:cNvSpPr/>
      </dsp:nvSpPr>
      <dsp:spPr>
        <a:xfrm>
          <a:off x="1755647" y="1014862"/>
          <a:ext cx="3730752" cy="101103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57150" lvl="1" indent="-57150" algn="l" defTabSz="466725">
            <a:lnSpc>
              <a:spcPct val="90000"/>
            </a:lnSpc>
            <a:spcBef>
              <a:spcPct val="0"/>
            </a:spcBef>
            <a:spcAft>
              <a:spcPct val="15000"/>
            </a:spcAft>
            <a:buChar char="•"/>
          </a:pPr>
          <a:r>
            <a:rPr lang="en-CA" sz="1050" kern="1200"/>
            <a:t>brings in data from the CASTS site and creates a dataframe of CTD data that was either classified as the Prince 5 station, or other DFO data collections on the Scots Bay and German Bank/Seal Island area that can be combined with the HSC data to increase the sample size</a:t>
          </a:r>
        </a:p>
        <a:p>
          <a:pPr marL="57150" lvl="1" indent="-57150" algn="l" defTabSz="466725">
            <a:lnSpc>
              <a:spcPct val="90000"/>
            </a:lnSpc>
            <a:spcBef>
              <a:spcPct val="0"/>
            </a:spcBef>
            <a:spcAft>
              <a:spcPct val="15000"/>
            </a:spcAft>
            <a:buChar char="•"/>
          </a:pPr>
          <a:r>
            <a:rPr lang="en-CA" sz="1050" kern="1200"/>
            <a:t>For Prince 5 this includes data from 2017 to 2023</a:t>
          </a:r>
        </a:p>
      </dsp:txBody>
      <dsp:txXfrm>
        <a:off x="1755647" y="1014862"/>
        <a:ext cx="3730752" cy="1011037"/>
      </dsp:txXfrm>
    </dsp:sp>
    <dsp:sp modelId="{8BB60D3E-FB86-4F6F-B1D8-C44BAAB50A38}">
      <dsp:nvSpPr>
        <dsp:cNvPr id="0" name=""/>
        <dsp:cNvSpPr/>
      </dsp:nvSpPr>
      <dsp:spPr>
        <a:xfrm>
          <a:off x="0" y="2260518"/>
          <a:ext cx="1371600" cy="851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27940" rIns="78232" bIns="27940" numCol="1" spcCol="1270" anchor="ctr" anchorCtr="0">
          <a:noAutofit/>
        </a:bodyPr>
        <a:lstStyle/>
        <a:p>
          <a:pPr marL="0" lvl="0" indent="0" algn="r" defTabSz="466725">
            <a:lnSpc>
              <a:spcPct val="90000"/>
            </a:lnSpc>
            <a:spcBef>
              <a:spcPct val="0"/>
            </a:spcBef>
            <a:spcAft>
              <a:spcPct val="35000"/>
            </a:spcAft>
            <a:buNone/>
          </a:pPr>
          <a:r>
            <a:rPr lang="en-CA" sz="1050" kern="1200"/>
            <a:t>rerdapp.R</a:t>
          </a:r>
        </a:p>
      </dsp:txBody>
      <dsp:txXfrm>
        <a:off x="0" y="2260518"/>
        <a:ext cx="1371600" cy="851400"/>
      </dsp:txXfrm>
    </dsp:sp>
    <dsp:sp modelId="{14F98FF1-4158-4210-8D48-AACF65D1D83A}">
      <dsp:nvSpPr>
        <dsp:cNvPr id="0" name=""/>
        <dsp:cNvSpPr/>
      </dsp:nvSpPr>
      <dsp:spPr>
        <a:xfrm>
          <a:off x="1371599" y="2180700"/>
          <a:ext cx="274320" cy="1011037"/>
        </a:xfrm>
        <a:prstGeom prst="leftBrace">
          <a:avLst>
            <a:gd name="adj1" fmla="val 35000"/>
            <a:gd name="adj2" fmla="val 50000"/>
          </a:avLst>
        </a:pr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5DF453-1A2E-445C-9157-A7FD19744361}">
      <dsp:nvSpPr>
        <dsp:cNvPr id="0" name=""/>
        <dsp:cNvSpPr/>
      </dsp:nvSpPr>
      <dsp:spPr>
        <a:xfrm>
          <a:off x="1755647" y="2180700"/>
          <a:ext cx="3730752" cy="101103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57150" lvl="1" indent="-57150" algn="l" defTabSz="466725">
            <a:lnSpc>
              <a:spcPct val="90000"/>
            </a:lnSpc>
            <a:spcBef>
              <a:spcPct val="0"/>
            </a:spcBef>
            <a:spcAft>
              <a:spcPct val="15000"/>
            </a:spcAft>
            <a:buChar char="•"/>
          </a:pPr>
          <a:r>
            <a:rPr lang="en-CA" sz="1050" kern="1200"/>
            <a:t>Downloads the 2024 Prince 5 data from the CIOOS site and </a:t>
          </a:r>
          <a:r>
            <a:rPr lang="en-CA" sz="1050" b="0" i="0" kern="1200"/>
            <a:t>Maritimes Region Atlantic Zone Monitoring Program (AZMP) Rosette Vertical Profiles dataset</a:t>
          </a:r>
          <a:endParaRPr lang="en-CA" sz="1050" kern="1200"/>
        </a:p>
        <a:p>
          <a:pPr marL="57150" lvl="1" indent="-57150" algn="l" defTabSz="466725">
            <a:lnSpc>
              <a:spcPct val="90000"/>
            </a:lnSpc>
            <a:spcBef>
              <a:spcPct val="0"/>
            </a:spcBef>
            <a:spcAft>
              <a:spcPct val="15000"/>
            </a:spcAft>
            <a:buChar char="•"/>
          </a:pPr>
          <a:r>
            <a:rPr lang="en-CA" sz="1050" i="1" kern="1200"/>
            <a:t>Need to figure out how to get this dataset in the same form as above (gives a downwards and upwards cast rather than just one as when using CASTS)</a:t>
          </a:r>
        </a:p>
      </dsp:txBody>
      <dsp:txXfrm>
        <a:off x="1755647" y="2180700"/>
        <a:ext cx="3730752" cy="1011037"/>
      </dsp:txXfrm>
    </dsp:sp>
  </dsp:spTree>
</dsp:drawing>
</file>

<file path=word/diagrams/layout1.xml><?xml version="1.0" encoding="utf-8"?>
<dgm:layoutDef xmlns:dgm="http://schemas.openxmlformats.org/drawingml/2006/diagram" xmlns:a="http://schemas.openxmlformats.org/drawingml/2006/main" uniqueId="urn:diagrams.loki3.com/BracketList">
  <dgm:title val="Vertical Bracket List"/>
  <dgm:desc val="Use to show grouped blocks of information.  Works well with large amounts of Level 2 text."/>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615FE-69E6-498F-8A6A-1EB373A1D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10</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 Munden</dc:creator>
  <cp:keywords/>
  <dc:description/>
  <cp:lastModifiedBy>Herring Science</cp:lastModifiedBy>
  <cp:revision>68</cp:revision>
  <dcterms:created xsi:type="dcterms:W3CDTF">2026-07-14T12:11:00Z</dcterms:created>
  <dcterms:modified xsi:type="dcterms:W3CDTF">2026-10-20T18:32:00Z</dcterms:modified>
</cp:coreProperties>
</file>