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BDCF0" w14:textId="77777777" w:rsidR="00022AF0" w:rsidRPr="004E0559" w:rsidRDefault="00022AF0" w:rsidP="004E0559">
      <w:pPr>
        <w:jc w:val="center"/>
        <w:rPr>
          <w:rFonts w:ascii="Times New Roman" w:hAnsi="Times New Roman" w:cs="Times New Roman"/>
          <w:b/>
          <w:bCs/>
          <w:sz w:val="32"/>
          <w:szCs w:val="32"/>
        </w:rPr>
      </w:pPr>
      <w:r w:rsidRPr="004E0559">
        <w:rPr>
          <w:rFonts w:ascii="Times New Roman" w:hAnsi="Times New Roman" w:cs="Times New Roman"/>
          <w:b/>
          <w:bCs/>
          <w:sz w:val="32"/>
          <w:szCs w:val="32"/>
        </w:rPr>
        <w:t>EXECUTIVE INSIGHT REPORT</w:t>
      </w:r>
    </w:p>
    <w:p w14:paraId="7507D0F4" w14:textId="77777777" w:rsidR="00022AF0" w:rsidRPr="00022AF0" w:rsidRDefault="00022AF0" w:rsidP="004E0559">
      <w:pPr>
        <w:jc w:val="both"/>
        <w:rPr>
          <w:rFonts w:ascii="Times New Roman" w:hAnsi="Times New Roman" w:cs="Times New Roman"/>
          <w:b/>
          <w:bCs/>
          <w:sz w:val="24"/>
          <w:szCs w:val="24"/>
        </w:rPr>
      </w:pPr>
      <w:r w:rsidRPr="00022AF0">
        <w:rPr>
          <w:rFonts w:ascii="Times New Roman" w:hAnsi="Times New Roman" w:cs="Times New Roman"/>
          <w:b/>
          <w:bCs/>
          <w:sz w:val="24"/>
          <w:szCs w:val="24"/>
        </w:rPr>
        <w:t>Executive Summary</w:t>
      </w:r>
    </w:p>
    <w:p w14:paraId="2FDC093C" w14:textId="77777777" w:rsidR="00022AF0" w:rsidRPr="00022AF0" w:rsidRDefault="00022AF0" w:rsidP="004E0559">
      <w:pPr>
        <w:jc w:val="both"/>
        <w:rPr>
          <w:rFonts w:ascii="Times New Roman" w:hAnsi="Times New Roman" w:cs="Times New Roman"/>
          <w:sz w:val="24"/>
          <w:szCs w:val="24"/>
        </w:rPr>
      </w:pPr>
      <w:r w:rsidRPr="00022AF0">
        <w:rPr>
          <w:rFonts w:ascii="Times New Roman" w:hAnsi="Times New Roman" w:cs="Times New Roman"/>
          <w:sz w:val="24"/>
          <w:szCs w:val="24"/>
        </w:rPr>
        <w:t>This analysis provides a comprehensive evaluation of retail performance across sales, customers, products, returns, and supply chain operations. The objective is to support executive decision making by identifying key performance drivers and operational inefficiencies.</w:t>
      </w:r>
    </w:p>
    <w:p w14:paraId="275B0470" w14:textId="77777777" w:rsidR="00022AF0" w:rsidRPr="00022AF0" w:rsidRDefault="00022AF0" w:rsidP="004E0559">
      <w:pPr>
        <w:jc w:val="both"/>
        <w:rPr>
          <w:rFonts w:ascii="Times New Roman" w:hAnsi="Times New Roman" w:cs="Times New Roman"/>
          <w:sz w:val="24"/>
          <w:szCs w:val="24"/>
        </w:rPr>
      </w:pPr>
    </w:p>
    <w:p w14:paraId="5E63F14A" w14:textId="77777777" w:rsidR="00022AF0" w:rsidRPr="00022AF0" w:rsidRDefault="00022AF0" w:rsidP="004E0559">
      <w:pPr>
        <w:jc w:val="both"/>
        <w:rPr>
          <w:rFonts w:ascii="Times New Roman" w:hAnsi="Times New Roman" w:cs="Times New Roman"/>
          <w:sz w:val="24"/>
          <w:szCs w:val="24"/>
        </w:rPr>
      </w:pPr>
      <w:r w:rsidRPr="00022AF0">
        <w:rPr>
          <w:rFonts w:ascii="Times New Roman" w:hAnsi="Times New Roman" w:cs="Times New Roman"/>
          <w:sz w:val="24"/>
          <w:szCs w:val="24"/>
        </w:rPr>
        <w:t>The analysis reveals significant variation in product performance, customer contribution, and operational efficiency across the business.</w:t>
      </w:r>
    </w:p>
    <w:p w14:paraId="3680C121" w14:textId="77777777" w:rsidR="00022AF0" w:rsidRDefault="00022AF0" w:rsidP="004E0559">
      <w:pPr>
        <w:jc w:val="both"/>
        <w:rPr>
          <w:rFonts w:ascii="Times New Roman" w:hAnsi="Times New Roman" w:cs="Times New Roman"/>
          <w:b/>
          <w:bCs/>
          <w:sz w:val="24"/>
          <w:szCs w:val="24"/>
        </w:rPr>
      </w:pPr>
    </w:p>
    <w:p w14:paraId="504CAC4A" w14:textId="3B2C8896"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Key Findings</w:t>
      </w:r>
    </w:p>
    <w:p w14:paraId="287A8394"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1. Revenue Performance Is Well Distributed Across Categories</w:t>
      </w:r>
    </w:p>
    <w:p w14:paraId="7F167F6E"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 business demonstrates a diversified revenue structure across product categories. Cat_5 generated the highest category revenue at approximately 136.7 million, followed closely by Cat_3, Cat_21, and Cat_26.</w:t>
      </w:r>
    </w:p>
    <w:p w14:paraId="1D23A7C8"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 relatively small revenue gap between leading categories indicates that the organization is not overly dependent on a single category for revenue generation, reducing concentration risk.</w:t>
      </w:r>
    </w:p>
    <w:p w14:paraId="7BE87134" w14:textId="1460F741" w:rsidR="0056465A" w:rsidRPr="0056465A" w:rsidRDefault="0056465A" w:rsidP="004E0559">
      <w:pPr>
        <w:jc w:val="both"/>
        <w:rPr>
          <w:rFonts w:ascii="Times New Roman" w:hAnsi="Times New Roman" w:cs="Times New Roman"/>
          <w:sz w:val="24"/>
          <w:szCs w:val="24"/>
        </w:rPr>
      </w:pPr>
    </w:p>
    <w:p w14:paraId="1F4BD805"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2. High Performing Products Were Identified</w:t>
      </w:r>
    </w:p>
    <w:p w14:paraId="3BAB02AC"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Product 745 generated the highest individual product revenue at over 674 thousand, followed by products 8248, 4738, and 7363.</w:t>
      </w:r>
    </w:p>
    <w:p w14:paraId="2A924592"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These products represent key commercial drivers and may require:</w:t>
      </w:r>
    </w:p>
    <w:p w14:paraId="4883B7A6" w14:textId="77777777" w:rsidR="0056465A" w:rsidRPr="0056465A" w:rsidRDefault="0056465A" w:rsidP="004E0559">
      <w:pPr>
        <w:numPr>
          <w:ilvl w:val="0"/>
          <w:numId w:val="7"/>
        </w:numPr>
        <w:jc w:val="both"/>
        <w:rPr>
          <w:rFonts w:ascii="Times New Roman" w:hAnsi="Times New Roman" w:cs="Times New Roman"/>
          <w:sz w:val="24"/>
          <w:szCs w:val="24"/>
        </w:rPr>
      </w:pPr>
      <w:r w:rsidRPr="0056465A">
        <w:rPr>
          <w:rFonts w:ascii="Times New Roman" w:hAnsi="Times New Roman" w:cs="Times New Roman"/>
          <w:sz w:val="24"/>
          <w:szCs w:val="24"/>
        </w:rPr>
        <w:t xml:space="preserve">inventory prioritization </w:t>
      </w:r>
    </w:p>
    <w:p w14:paraId="00292B55" w14:textId="77777777" w:rsidR="0056465A" w:rsidRPr="0056465A" w:rsidRDefault="0056465A" w:rsidP="004E0559">
      <w:pPr>
        <w:numPr>
          <w:ilvl w:val="0"/>
          <w:numId w:val="7"/>
        </w:numPr>
        <w:jc w:val="both"/>
        <w:rPr>
          <w:rFonts w:ascii="Times New Roman" w:hAnsi="Times New Roman" w:cs="Times New Roman"/>
          <w:sz w:val="24"/>
          <w:szCs w:val="24"/>
        </w:rPr>
      </w:pPr>
      <w:r w:rsidRPr="0056465A">
        <w:rPr>
          <w:rFonts w:ascii="Times New Roman" w:hAnsi="Times New Roman" w:cs="Times New Roman"/>
          <w:sz w:val="24"/>
          <w:szCs w:val="24"/>
        </w:rPr>
        <w:t xml:space="preserve">supplier continuity monitoring </w:t>
      </w:r>
    </w:p>
    <w:p w14:paraId="46700F0E" w14:textId="77777777" w:rsidR="0056465A" w:rsidRPr="0056465A" w:rsidRDefault="0056465A" w:rsidP="004E0559">
      <w:pPr>
        <w:numPr>
          <w:ilvl w:val="0"/>
          <w:numId w:val="7"/>
        </w:numPr>
        <w:jc w:val="both"/>
        <w:rPr>
          <w:rFonts w:ascii="Times New Roman" w:hAnsi="Times New Roman" w:cs="Times New Roman"/>
          <w:sz w:val="24"/>
          <w:szCs w:val="24"/>
        </w:rPr>
      </w:pPr>
      <w:r w:rsidRPr="0056465A">
        <w:rPr>
          <w:rFonts w:ascii="Times New Roman" w:hAnsi="Times New Roman" w:cs="Times New Roman"/>
          <w:sz w:val="24"/>
          <w:szCs w:val="24"/>
        </w:rPr>
        <w:t xml:space="preserve">targeted promotional support </w:t>
      </w:r>
    </w:p>
    <w:p w14:paraId="53FE6840"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to sustain performance.</w:t>
      </w:r>
    </w:p>
    <w:p w14:paraId="61F23125" w14:textId="66FA2438" w:rsidR="0056465A" w:rsidRPr="0056465A" w:rsidRDefault="0056465A" w:rsidP="004E0559">
      <w:pPr>
        <w:jc w:val="both"/>
        <w:rPr>
          <w:rFonts w:ascii="Times New Roman" w:hAnsi="Times New Roman" w:cs="Times New Roman"/>
          <w:sz w:val="24"/>
          <w:szCs w:val="24"/>
        </w:rPr>
      </w:pPr>
    </w:p>
    <w:p w14:paraId="235446BD"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3. Strong Revenue Categories Also Carry Significant Refund Exposure</w:t>
      </w:r>
    </w:p>
    <w:p w14:paraId="732A8285"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While several categories delivered strong revenue performance, many also generated elevated refund losses.</w:t>
      </w:r>
    </w:p>
    <w:p w14:paraId="40DE1B8E"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Cat_11 recorded the highest refund exposure at approximately 2.78 million, followed closely by Cat_26, Cat_21, and Cat_12.</w:t>
      </w:r>
    </w:p>
    <w:p w14:paraId="23D3FE83"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Importantly, Cat_5, the top revenue generating category, also produced refund losses exceeding 2.66 million. This suggests that high sales performance alone may not translate into optimal profitability.</w:t>
      </w:r>
    </w:p>
    <w:p w14:paraId="16D7BEF6" w14:textId="254C6D9C" w:rsidR="0056465A" w:rsidRPr="0056465A" w:rsidRDefault="0056465A" w:rsidP="004E0559">
      <w:pPr>
        <w:jc w:val="both"/>
        <w:rPr>
          <w:rFonts w:ascii="Times New Roman" w:hAnsi="Times New Roman" w:cs="Times New Roman"/>
          <w:sz w:val="24"/>
          <w:szCs w:val="24"/>
        </w:rPr>
      </w:pPr>
    </w:p>
    <w:p w14:paraId="6DC58EE6"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4. Refund Activity Represents a Material Profitability Risk</w:t>
      </w:r>
    </w:p>
    <w:p w14:paraId="4F07FBD9"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Refund values remained consistently high across multiple categories, with most major categories exceeding 2 million in total refunds.</w:t>
      </w:r>
    </w:p>
    <w:p w14:paraId="00559C10"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 widespread nature of refund exposure may indicate:</w:t>
      </w:r>
    </w:p>
    <w:p w14:paraId="6F50B853" w14:textId="77777777" w:rsidR="0056465A" w:rsidRPr="0056465A" w:rsidRDefault="0056465A" w:rsidP="004E0559">
      <w:pPr>
        <w:numPr>
          <w:ilvl w:val="0"/>
          <w:numId w:val="8"/>
        </w:numPr>
        <w:jc w:val="both"/>
        <w:rPr>
          <w:rFonts w:ascii="Times New Roman" w:hAnsi="Times New Roman" w:cs="Times New Roman"/>
          <w:sz w:val="24"/>
          <w:szCs w:val="24"/>
        </w:rPr>
      </w:pPr>
      <w:r w:rsidRPr="0056465A">
        <w:rPr>
          <w:rFonts w:ascii="Times New Roman" w:hAnsi="Times New Roman" w:cs="Times New Roman"/>
          <w:sz w:val="24"/>
          <w:szCs w:val="24"/>
        </w:rPr>
        <w:t xml:space="preserve">product quality inconsistencies </w:t>
      </w:r>
    </w:p>
    <w:p w14:paraId="06BC2FEF" w14:textId="77777777" w:rsidR="0056465A" w:rsidRPr="0056465A" w:rsidRDefault="0056465A" w:rsidP="004E0559">
      <w:pPr>
        <w:numPr>
          <w:ilvl w:val="0"/>
          <w:numId w:val="8"/>
        </w:numPr>
        <w:jc w:val="both"/>
        <w:rPr>
          <w:rFonts w:ascii="Times New Roman" w:hAnsi="Times New Roman" w:cs="Times New Roman"/>
          <w:sz w:val="24"/>
          <w:szCs w:val="24"/>
        </w:rPr>
      </w:pPr>
      <w:r w:rsidRPr="0056465A">
        <w:rPr>
          <w:rFonts w:ascii="Times New Roman" w:hAnsi="Times New Roman" w:cs="Times New Roman"/>
          <w:sz w:val="24"/>
          <w:szCs w:val="24"/>
        </w:rPr>
        <w:lastRenderedPageBreak/>
        <w:t xml:space="preserve">customer expectation gaps </w:t>
      </w:r>
    </w:p>
    <w:p w14:paraId="7C879559" w14:textId="77777777" w:rsidR="0056465A" w:rsidRPr="0056465A" w:rsidRDefault="0056465A" w:rsidP="004E0559">
      <w:pPr>
        <w:numPr>
          <w:ilvl w:val="0"/>
          <w:numId w:val="8"/>
        </w:numPr>
        <w:jc w:val="both"/>
        <w:rPr>
          <w:rFonts w:ascii="Times New Roman" w:hAnsi="Times New Roman" w:cs="Times New Roman"/>
          <w:sz w:val="24"/>
          <w:szCs w:val="24"/>
        </w:rPr>
      </w:pPr>
      <w:r w:rsidRPr="0056465A">
        <w:rPr>
          <w:rFonts w:ascii="Times New Roman" w:hAnsi="Times New Roman" w:cs="Times New Roman"/>
          <w:sz w:val="24"/>
          <w:szCs w:val="24"/>
        </w:rPr>
        <w:t xml:space="preserve">fulfillment related issues </w:t>
      </w:r>
    </w:p>
    <w:p w14:paraId="78797A01" w14:textId="77777777" w:rsidR="0056465A" w:rsidRPr="0056465A" w:rsidRDefault="0056465A" w:rsidP="004E0559">
      <w:pPr>
        <w:numPr>
          <w:ilvl w:val="0"/>
          <w:numId w:val="8"/>
        </w:numPr>
        <w:jc w:val="both"/>
        <w:rPr>
          <w:rFonts w:ascii="Times New Roman" w:hAnsi="Times New Roman" w:cs="Times New Roman"/>
          <w:sz w:val="24"/>
          <w:szCs w:val="24"/>
        </w:rPr>
      </w:pPr>
      <w:r w:rsidRPr="0056465A">
        <w:rPr>
          <w:rFonts w:ascii="Times New Roman" w:hAnsi="Times New Roman" w:cs="Times New Roman"/>
          <w:sz w:val="24"/>
          <w:szCs w:val="24"/>
        </w:rPr>
        <w:t xml:space="preserve">supplier performance variability </w:t>
      </w:r>
    </w:p>
    <w:p w14:paraId="674A702C"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Further root cause analysis is recommended to reduce financial leakage.</w:t>
      </w:r>
    </w:p>
    <w:p w14:paraId="2DBE32E9" w14:textId="5C2A2AC2" w:rsidR="0056465A" w:rsidRPr="0056465A" w:rsidRDefault="0056465A" w:rsidP="004E0559">
      <w:pPr>
        <w:jc w:val="both"/>
        <w:rPr>
          <w:rFonts w:ascii="Times New Roman" w:hAnsi="Times New Roman" w:cs="Times New Roman"/>
          <w:sz w:val="24"/>
          <w:szCs w:val="24"/>
        </w:rPr>
      </w:pPr>
    </w:p>
    <w:p w14:paraId="74B3CFD6"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5. Supplier Performance Variation Indicates Operational Risk Differences</w:t>
      </w:r>
    </w:p>
    <w:p w14:paraId="3139319D"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Supplier return rates ranged between approximately 3.84% and 5.79%.</w:t>
      </w:r>
    </w:p>
    <w:p w14:paraId="7A312B06"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Suppliers with elevated return rates may require:</w:t>
      </w:r>
    </w:p>
    <w:p w14:paraId="4B4C80F6" w14:textId="77777777" w:rsidR="0056465A" w:rsidRPr="0056465A" w:rsidRDefault="0056465A" w:rsidP="004E0559">
      <w:pPr>
        <w:numPr>
          <w:ilvl w:val="0"/>
          <w:numId w:val="9"/>
        </w:numPr>
        <w:jc w:val="both"/>
        <w:rPr>
          <w:rFonts w:ascii="Times New Roman" w:hAnsi="Times New Roman" w:cs="Times New Roman"/>
          <w:sz w:val="24"/>
          <w:szCs w:val="24"/>
        </w:rPr>
      </w:pPr>
      <w:r w:rsidRPr="0056465A">
        <w:rPr>
          <w:rFonts w:ascii="Times New Roman" w:hAnsi="Times New Roman" w:cs="Times New Roman"/>
          <w:sz w:val="24"/>
          <w:szCs w:val="24"/>
        </w:rPr>
        <w:t xml:space="preserve">additional quality monitoring </w:t>
      </w:r>
    </w:p>
    <w:p w14:paraId="50FC39E7" w14:textId="77777777" w:rsidR="0056465A" w:rsidRPr="0056465A" w:rsidRDefault="0056465A" w:rsidP="004E0559">
      <w:pPr>
        <w:numPr>
          <w:ilvl w:val="0"/>
          <w:numId w:val="9"/>
        </w:numPr>
        <w:jc w:val="both"/>
        <w:rPr>
          <w:rFonts w:ascii="Times New Roman" w:hAnsi="Times New Roman" w:cs="Times New Roman"/>
          <w:sz w:val="24"/>
          <w:szCs w:val="24"/>
        </w:rPr>
      </w:pPr>
      <w:r w:rsidRPr="0056465A">
        <w:rPr>
          <w:rFonts w:ascii="Times New Roman" w:hAnsi="Times New Roman" w:cs="Times New Roman"/>
          <w:sz w:val="24"/>
          <w:szCs w:val="24"/>
        </w:rPr>
        <w:t xml:space="preserve">contract review </w:t>
      </w:r>
    </w:p>
    <w:p w14:paraId="77463944" w14:textId="77777777" w:rsidR="0056465A" w:rsidRPr="0056465A" w:rsidRDefault="0056465A" w:rsidP="004E0559">
      <w:pPr>
        <w:numPr>
          <w:ilvl w:val="0"/>
          <w:numId w:val="9"/>
        </w:numPr>
        <w:jc w:val="both"/>
        <w:rPr>
          <w:rFonts w:ascii="Times New Roman" w:hAnsi="Times New Roman" w:cs="Times New Roman"/>
          <w:sz w:val="24"/>
          <w:szCs w:val="24"/>
        </w:rPr>
      </w:pPr>
      <w:r w:rsidRPr="0056465A">
        <w:rPr>
          <w:rFonts w:ascii="Times New Roman" w:hAnsi="Times New Roman" w:cs="Times New Roman"/>
          <w:sz w:val="24"/>
          <w:szCs w:val="24"/>
        </w:rPr>
        <w:t xml:space="preserve">operational evaluation </w:t>
      </w:r>
    </w:p>
    <w:p w14:paraId="5C0FEA8D"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to reduce return related business risk.</w:t>
      </w:r>
    </w:p>
    <w:p w14:paraId="69A5FF02" w14:textId="58B738BB" w:rsidR="0056465A" w:rsidRPr="0056465A" w:rsidRDefault="0056465A" w:rsidP="004E0559">
      <w:pPr>
        <w:jc w:val="both"/>
        <w:rPr>
          <w:rFonts w:ascii="Times New Roman" w:hAnsi="Times New Roman" w:cs="Times New Roman"/>
          <w:sz w:val="24"/>
          <w:szCs w:val="24"/>
        </w:rPr>
      </w:pPr>
    </w:p>
    <w:p w14:paraId="2034DD20"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6. Shipment Operations Show Significant Late Delivery Volume</w:t>
      </w:r>
    </w:p>
    <w:p w14:paraId="2713CF98"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Shipment analysis revealed operational inefficiencies across logistics processes.</w:t>
      </w:r>
    </w:p>
    <w:p w14:paraId="3E0FD22F"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While approximately 99 thousand shipments were successfully delivered, a nearly identical number of shipments were classified as late. The volume of late deliveries indicates opportunities to improve logistics coordination and fulfillment efficiency.</w:t>
      </w:r>
    </w:p>
    <w:p w14:paraId="7FFF385A"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Reducing shipment delays could positively impact:</w:t>
      </w:r>
    </w:p>
    <w:p w14:paraId="7D21C862" w14:textId="77777777" w:rsidR="0056465A" w:rsidRPr="0056465A" w:rsidRDefault="0056465A" w:rsidP="004E0559">
      <w:pPr>
        <w:numPr>
          <w:ilvl w:val="0"/>
          <w:numId w:val="10"/>
        </w:numPr>
        <w:jc w:val="both"/>
        <w:rPr>
          <w:rFonts w:ascii="Times New Roman" w:hAnsi="Times New Roman" w:cs="Times New Roman"/>
          <w:sz w:val="24"/>
          <w:szCs w:val="24"/>
        </w:rPr>
      </w:pPr>
      <w:r w:rsidRPr="0056465A">
        <w:rPr>
          <w:rFonts w:ascii="Times New Roman" w:hAnsi="Times New Roman" w:cs="Times New Roman"/>
          <w:sz w:val="24"/>
          <w:szCs w:val="24"/>
        </w:rPr>
        <w:t xml:space="preserve">customer satisfaction </w:t>
      </w:r>
    </w:p>
    <w:p w14:paraId="141142D4" w14:textId="77777777" w:rsidR="0056465A" w:rsidRPr="0056465A" w:rsidRDefault="0056465A" w:rsidP="004E0559">
      <w:pPr>
        <w:numPr>
          <w:ilvl w:val="0"/>
          <w:numId w:val="10"/>
        </w:numPr>
        <w:jc w:val="both"/>
        <w:rPr>
          <w:rFonts w:ascii="Times New Roman" w:hAnsi="Times New Roman" w:cs="Times New Roman"/>
          <w:sz w:val="24"/>
          <w:szCs w:val="24"/>
        </w:rPr>
      </w:pPr>
      <w:r w:rsidRPr="0056465A">
        <w:rPr>
          <w:rFonts w:ascii="Times New Roman" w:hAnsi="Times New Roman" w:cs="Times New Roman"/>
          <w:sz w:val="24"/>
          <w:szCs w:val="24"/>
        </w:rPr>
        <w:t xml:space="preserve">repeat purchases </w:t>
      </w:r>
    </w:p>
    <w:p w14:paraId="753D6FCB" w14:textId="77777777" w:rsidR="0056465A" w:rsidRPr="0056465A" w:rsidRDefault="0056465A" w:rsidP="004E0559">
      <w:pPr>
        <w:numPr>
          <w:ilvl w:val="0"/>
          <w:numId w:val="10"/>
        </w:numPr>
        <w:jc w:val="both"/>
        <w:rPr>
          <w:rFonts w:ascii="Times New Roman" w:hAnsi="Times New Roman" w:cs="Times New Roman"/>
          <w:sz w:val="24"/>
          <w:szCs w:val="24"/>
        </w:rPr>
      </w:pPr>
      <w:r w:rsidRPr="0056465A">
        <w:rPr>
          <w:rFonts w:ascii="Times New Roman" w:hAnsi="Times New Roman" w:cs="Times New Roman"/>
          <w:sz w:val="24"/>
          <w:szCs w:val="24"/>
        </w:rPr>
        <w:t xml:space="preserve">return reduction </w:t>
      </w:r>
    </w:p>
    <w:p w14:paraId="50F6A21A" w14:textId="080846C3" w:rsidR="0056465A" w:rsidRPr="0056465A" w:rsidRDefault="0056465A" w:rsidP="004E0559">
      <w:pPr>
        <w:jc w:val="both"/>
        <w:rPr>
          <w:rFonts w:ascii="Times New Roman" w:hAnsi="Times New Roman" w:cs="Times New Roman"/>
          <w:sz w:val="24"/>
          <w:szCs w:val="24"/>
        </w:rPr>
      </w:pPr>
    </w:p>
    <w:p w14:paraId="20B593E4"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7. Revenue Trends Show Seasonal Stability with Recurring Peaks</w:t>
      </w:r>
    </w:p>
    <w:p w14:paraId="70F76080"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Revenue performance remained relatively stable between 2020 and 2023, with recurring revenue peaks observed during:</w:t>
      </w:r>
    </w:p>
    <w:p w14:paraId="5D3E0410" w14:textId="77777777" w:rsidR="0056465A" w:rsidRPr="0056465A" w:rsidRDefault="0056465A" w:rsidP="004E0559">
      <w:pPr>
        <w:numPr>
          <w:ilvl w:val="0"/>
          <w:numId w:val="11"/>
        </w:numPr>
        <w:jc w:val="both"/>
        <w:rPr>
          <w:rFonts w:ascii="Times New Roman" w:hAnsi="Times New Roman" w:cs="Times New Roman"/>
          <w:sz w:val="24"/>
          <w:szCs w:val="24"/>
        </w:rPr>
      </w:pPr>
      <w:r w:rsidRPr="0056465A">
        <w:rPr>
          <w:rFonts w:ascii="Times New Roman" w:hAnsi="Times New Roman" w:cs="Times New Roman"/>
          <w:sz w:val="24"/>
          <w:szCs w:val="24"/>
        </w:rPr>
        <w:t xml:space="preserve">July </w:t>
      </w:r>
    </w:p>
    <w:p w14:paraId="2F2EB381" w14:textId="77777777" w:rsidR="0056465A" w:rsidRPr="0056465A" w:rsidRDefault="0056465A" w:rsidP="004E0559">
      <w:pPr>
        <w:numPr>
          <w:ilvl w:val="0"/>
          <w:numId w:val="11"/>
        </w:numPr>
        <w:jc w:val="both"/>
        <w:rPr>
          <w:rFonts w:ascii="Times New Roman" w:hAnsi="Times New Roman" w:cs="Times New Roman"/>
          <w:sz w:val="24"/>
          <w:szCs w:val="24"/>
        </w:rPr>
      </w:pPr>
      <w:r w:rsidRPr="0056465A">
        <w:rPr>
          <w:rFonts w:ascii="Times New Roman" w:hAnsi="Times New Roman" w:cs="Times New Roman"/>
          <w:sz w:val="24"/>
          <w:szCs w:val="24"/>
        </w:rPr>
        <w:t xml:space="preserve">October </w:t>
      </w:r>
    </w:p>
    <w:p w14:paraId="2DA91F9A" w14:textId="77777777" w:rsidR="0056465A" w:rsidRPr="0056465A" w:rsidRDefault="0056465A" w:rsidP="004E0559">
      <w:pPr>
        <w:numPr>
          <w:ilvl w:val="0"/>
          <w:numId w:val="11"/>
        </w:numPr>
        <w:jc w:val="both"/>
        <w:rPr>
          <w:rFonts w:ascii="Times New Roman" w:hAnsi="Times New Roman" w:cs="Times New Roman"/>
          <w:sz w:val="24"/>
          <w:szCs w:val="24"/>
        </w:rPr>
      </w:pPr>
      <w:r w:rsidRPr="0056465A">
        <w:rPr>
          <w:rFonts w:ascii="Times New Roman" w:hAnsi="Times New Roman" w:cs="Times New Roman"/>
          <w:sz w:val="24"/>
          <w:szCs w:val="24"/>
        </w:rPr>
        <w:t xml:space="preserve">December </w:t>
      </w:r>
    </w:p>
    <w:p w14:paraId="4C2E1237"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December 2020 generated the highest monthly revenue at approximately 83.4 million.</w:t>
      </w:r>
    </w:p>
    <w:p w14:paraId="1E7D9575"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February consistently recorded lower revenue performance across multiple years, suggesting potential seasonal demand fluctuations.</w:t>
      </w:r>
    </w:p>
    <w:p w14:paraId="52DB7C4D"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These patterns provide valuable input for:</w:t>
      </w:r>
    </w:p>
    <w:p w14:paraId="493C64CC" w14:textId="77777777" w:rsidR="0056465A" w:rsidRPr="0056465A" w:rsidRDefault="0056465A" w:rsidP="004E0559">
      <w:pPr>
        <w:numPr>
          <w:ilvl w:val="0"/>
          <w:numId w:val="12"/>
        </w:numPr>
        <w:jc w:val="both"/>
        <w:rPr>
          <w:rFonts w:ascii="Times New Roman" w:hAnsi="Times New Roman" w:cs="Times New Roman"/>
          <w:sz w:val="24"/>
          <w:szCs w:val="24"/>
        </w:rPr>
      </w:pPr>
      <w:r w:rsidRPr="0056465A">
        <w:rPr>
          <w:rFonts w:ascii="Times New Roman" w:hAnsi="Times New Roman" w:cs="Times New Roman"/>
          <w:sz w:val="24"/>
          <w:szCs w:val="24"/>
        </w:rPr>
        <w:t xml:space="preserve">demand forecasting </w:t>
      </w:r>
    </w:p>
    <w:p w14:paraId="2CF3C33F" w14:textId="77777777" w:rsidR="0056465A" w:rsidRPr="0056465A" w:rsidRDefault="0056465A" w:rsidP="004E0559">
      <w:pPr>
        <w:numPr>
          <w:ilvl w:val="0"/>
          <w:numId w:val="12"/>
        </w:numPr>
        <w:jc w:val="both"/>
        <w:rPr>
          <w:rFonts w:ascii="Times New Roman" w:hAnsi="Times New Roman" w:cs="Times New Roman"/>
          <w:sz w:val="24"/>
          <w:szCs w:val="24"/>
        </w:rPr>
      </w:pPr>
      <w:r w:rsidRPr="0056465A">
        <w:rPr>
          <w:rFonts w:ascii="Times New Roman" w:hAnsi="Times New Roman" w:cs="Times New Roman"/>
          <w:sz w:val="24"/>
          <w:szCs w:val="24"/>
        </w:rPr>
        <w:t xml:space="preserve">inventory planning </w:t>
      </w:r>
    </w:p>
    <w:p w14:paraId="1E961943" w14:textId="77777777" w:rsidR="0056465A" w:rsidRPr="0056465A" w:rsidRDefault="0056465A" w:rsidP="004E0559">
      <w:pPr>
        <w:numPr>
          <w:ilvl w:val="0"/>
          <w:numId w:val="12"/>
        </w:numPr>
        <w:jc w:val="both"/>
        <w:rPr>
          <w:rFonts w:ascii="Times New Roman" w:hAnsi="Times New Roman" w:cs="Times New Roman"/>
          <w:sz w:val="24"/>
          <w:szCs w:val="24"/>
        </w:rPr>
      </w:pPr>
      <w:r w:rsidRPr="0056465A">
        <w:rPr>
          <w:rFonts w:ascii="Times New Roman" w:hAnsi="Times New Roman" w:cs="Times New Roman"/>
          <w:sz w:val="24"/>
          <w:szCs w:val="24"/>
        </w:rPr>
        <w:t xml:space="preserve">promotional scheduling </w:t>
      </w:r>
    </w:p>
    <w:p w14:paraId="7F53DCDA" w14:textId="408F5EBD" w:rsidR="0056465A" w:rsidRPr="0056465A" w:rsidRDefault="0056465A" w:rsidP="004E0559">
      <w:pPr>
        <w:jc w:val="both"/>
        <w:rPr>
          <w:rFonts w:ascii="Times New Roman" w:hAnsi="Times New Roman" w:cs="Times New Roman"/>
          <w:sz w:val="24"/>
          <w:szCs w:val="24"/>
        </w:rPr>
      </w:pPr>
    </w:p>
    <w:p w14:paraId="4F4C9C44"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Strategic Recommendations</w:t>
      </w:r>
    </w:p>
    <w:p w14:paraId="4913CD52"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1. Improve Refund Reduction Programs</w:t>
      </w:r>
    </w:p>
    <w:p w14:paraId="17B89CDB"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lastRenderedPageBreak/>
        <w:t>Prioritize investigation into high refund categories such as Cat_11, Cat_26, and Cat_21 to identify root causes and improve profitability.</w:t>
      </w:r>
    </w:p>
    <w:p w14:paraId="20663DC6" w14:textId="57323F77" w:rsidR="0056465A" w:rsidRPr="0056465A" w:rsidRDefault="0056465A" w:rsidP="004E0559">
      <w:pPr>
        <w:jc w:val="both"/>
        <w:rPr>
          <w:rFonts w:ascii="Times New Roman" w:hAnsi="Times New Roman" w:cs="Times New Roman"/>
          <w:sz w:val="24"/>
          <w:szCs w:val="24"/>
        </w:rPr>
      </w:pPr>
    </w:p>
    <w:p w14:paraId="0D5CA1F6"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2. Strengthen Supplier Governance</w:t>
      </w:r>
    </w:p>
    <w:p w14:paraId="35BE035B"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Implement supplier scorecards that combine revenue contribution and return performance to better manage operational risk.</w:t>
      </w:r>
    </w:p>
    <w:p w14:paraId="55937B3F" w14:textId="3DB9AB05" w:rsidR="0056465A" w:rsidRPr="0056465A" w:rsidRDefault="0056465A" w:rsidP="004E0559">
      <w:pPr>
        <w:jc w:val="both"/>
        <w:rPr>
          <w:rFonts w:ascii="Times New Roman" w:hAnsi="Times New Roman" w:cs="Times New Roman"/>
          <w:sz w:val="24"/>
          <w:szCs w:val="24"/>
        </w:rPr>
      </w:pPr>
    </w:p>
    <w:p w14:paraId="15EBFAC7"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3. Optimize Shipment Operations</w:t>
      </w:r>
    </w:p>
    <w:p w14:paraId="1900646F"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Reduce late shipment volume through operational process improvements and logistics performance monitoring.</w:t>
      </w:r>
    </w:p>
    <w:p w14:paraId="3F19BC62" w14:textId="16E2C326" w:rsidR="0056465A" w:rsidRPr="0056465A" w:rsidRDefault="0056465A" w:rsidP="004E0559">
      <w:pPr>
        <w:jc w:val="both"/>
        <w:rPr>
          <w:rFonts w:ascii="Times New Roman" w:hAnsi="Times New Roman" w:cs="Times New Roman"/>
          <w:sz w:val="24"/>
          <w:szCs w:val="24"/>
        </w:rPr>
      </w:pPr>
    </w:p>
    <w:p w14:paraId="595CCF12"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4. Prioritize High Performing Products</w:t>
      </w:r>
    </w:p>
    <w:p w14:paraId="5880CCB7"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Ensure inventory stability and supply continuity for top revenue generating products such as product 745 and other leading SKUs.</w:t>
      </w:r>
    </w:p>
    <w:p w14:paraId="603A66E3" w14:textId="1465449A" w:rsidR="0056465A" w:rsidRPr="0056465A" w:rsidRDefault="0056465A" w:rsidP="004E0559">
      <w:pPr>
        <w:jc w:val="both"/>
        <w:rPr>
          <w:rFonts w:ascii="Times New Roman" w:hAnsi="Times New Roman" w:cs="Times New Roman"/>
          <w:sz w:val="24"/>
          <w:szCs w:val="24"/>
        </w:rPr>
      </w:pPr>
    </w:p>
    <w:p w14:paraId="3B8A0D93"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5. Improve Seasonal Planning</w:t>
      </w:r>
    </w:p>
    <w:p w14:paraId="3A378496"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Leverage recurring revenue peaks during Q3 and Q4 periods to improve inventory forecasting and promotional strategy execution.</w:t>
      </w:r>
    </w:p>
    <w:p w14:paraId="7EE65391" w14:textId="0C05797A" w:rsidR="0056465A" w:rsidRPr="0056465A" w:rsidRDefault="0056465A" w:rsidP="004E0559">
      <w:pPr>
        <w:jc w:val="both"/>
        <w:rPr>
          <w:rFonts w:ascii="Times New Roman" w:hAnsi="Times New Roman" w:cs="Times New Roman"/>
          <w:sz w:val="24"/>
          <w:szCs w:val="24"/>
        </w:rPr>
      </w:pPr>
    </w:p>
    <w:p w14:paraId="6520E326" w14:textId="77777777" w:rsidR="0056465A" w:rsidRPr="0056465A" w:rsidRDefault="0056465A" w:rsidP="004E0559">
      <w:pPr>
        <w:jc w:val="both"/>
        <w:rPr>
          <w:rFonts w:ascii="Times New Roman" w:hAnsi="Times New Roman" w:cs="Times New Roman"/>
          <w:b/>
          <w:bCs/>
          <w:sz w:val="24"/>
          <w:szCs w:val="24"/>
        </w:rPr>
      </w:pPr>
      <w:r w:rsidRPr="0056465A">
        <w:rPr>
          <w:rFonts w:ascii="Times New Roman" w:hAnsi="Times New Roman" w:cs="Times New Roman"/>
          <w:b/>
          <w:bCs/>
          <w:sz w:val="24"/>
          <w:szCs w:val="24"/>
        </w:rPr>
        <w:t>Conclusion</w:t>
      </w:r>
    </w:p>
    <w:p w14:paraId="39B72436"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The analysis indicates that the business maintains strong and diversified revenue generation across categories and products. However, elevated refund activity and significant late shipment volume present measurable operational and profitability risks.</w:t>
      </w:r>
    </w:p>
    <w:p w14:paraId="41F50BAD" w14:textId="77777777" w:rsidR="0056465A" w:rsidRPr="0056465A" w:rsidRDefault="0056465A" w:rsidP="004E0559">
      <w:pPr>
        <w:jc w:val="both"/>
        <w:rPr>
          <w:rFonts w:ascii="Times New Roman" w:hAnsi="Times New Roman" w:cs="Times New Roman"/>
          <w:sz w:val="24"/>
          <w:szCs w:val="24"/>
        </w:rPr>
      </w:pPr>
      <w:r w:rsidRPr="0056465A">
        <w:rPr>
          <w:rFonts w:ascii="Times New Roman" w:hAnsi="Times New Roman" w:cs="Times New Roman"/>
          <w:sz w:val="24"/>
          <w:szCs w:val="24"/>
        </w:rPr>
        <w:t>Addressing these operational inefficiencies while protecting high performing revenue drivers will strengthen long term profitability, customer satisfaction, and supply chain performance.</w:t>
      </w:r>
    </w:p>
    <w:p w14:paraId="0A736D4B" w14:textId="77777777" w:rsidR="004C7EAF" w:rsidRPr="0056465A" w:rsidRDefault="004C7EAF" w:rsidP="004E0559">
      <w:pPr>
        <w:jc w:val="both"/>
        <w:rPr>
          <w:rFonts w:ascii="Times New Roman" w:hAnsi="Times New Roman" w:cs="Times New Roman"/>
          <w:sz w:val="24"/>
          <w:szCs w:val="24"/>
        </w:rPr>
      </w:pPr>
    </w:p>
    <w:sectPr w:rsidR="004C7EAF" w:rsidRPr="005646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33FA8"/>
    <w:multiLevelType w:val="multilevel"/>
    <w:tmpl w:val="7C8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31139"/>
    <w:multiLevelType w:val="multilevel"/>
    <w:tmpl w:val="F9C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C6EEA"/>
    <w:multiLevelType w:val="multilevel"/>
    <w:tmpl w:val="CCD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C3FC2"/>
    <w:multiLevelType w:val="multilevel"/>
    <w:tmpl w:val="933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35F92"/>
    <w:multiLevelType w:val="multilevel"/>
    <w:tmpl w:val="4C3E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D30E8"/>
    <w:multiLevelType w:val="multilevel"/>
    <w:tmpl w:val="BFA8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D29FD"/>
    <w:multiLevelType w:val="multilevel"/>
    <w:tmpl w:val="06C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2690A"/>
    <w:multiLevelType w:val="multilevel"/>
    <w:tmpl w:val="CC8C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A1235"/>
    <w:multiLevelType w:val="multilevel"/>
    <w:tmpl w:val="4B6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41002"/>
    <w:multiLevelType w:val="multilevel"/>
    <w:tmpl w:val="A31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80490"/>
    <w:multiLevelType w:val="multilevel"/>
    <w:tmpl w:val="6C22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790FF6"/>
    <w:multiLevelType w:val="multilevel"/>
    <w:tmpl w:val="09B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915361">
    <w:abstractNumId w:val="9"/>
  </w:num>
  <w:num w:numId="2" w16cid:durableId="1990360914">
    <w:abstractNumId w:val="8"/>
  </w:num>
  <w:num w:numId="3" w16cid:durableId="923998298">
    <w:abstractNumId w:val="11"/>
  </w:num>
  <w:num w:numId="4" w16cid:durableId="1991205646">
    <w:abstractNumId w:val="2"/>
  </w:num>
  <w:num w:numId="5" w16cid:durableId="1262690046">
    <w:abstractNumId w:val="7"/>
  </w:num>
  <w:num w:numId="6" w16cid:durableId="1024786977">
    <w:abstractNumId w:val="5"/>
  </w:num>
  <w:num w:numId="7" w16cid:durableId="592055429">
    <w:abstractNumId w:val="4"/>
  </w:num>
  <w:num w:numId="8" w16cid:durableId="1990208881">
    <w:abstractNumId w:val="10"/>
  </w:num>
  <w:num w:numId="9" w16cid:durableId="2093163390">
    <w:abstractNumId w:val="3"/>
  </w:num>
  <w:num w:numId="10" w16cid:durableId="1679044897">
    <w:abstractNumId w:val="6"/>
  </w:num>
  <w:num w:numId="11" w16cid:durableId="2081175509">
    <w:abstractNumId w:val="0"/>
  </w:num>
  <w:num w:numId="12" w16cid:durableId="840776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DA3"/>
    <w:rsid w:val="00022AF0"/>
    <w:rsid w:val="00343DA3"/>
    <w:rsid w:val="004C7EAF"/>
    <w:rsid w:val="004E0559"/>
    <w:rsid w:val="00564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B76B"/>
  <w15:chartTrackingRefBased/>
  <w15:docId w15:val="{A26A4548-9C42-4301-A3C9-9235D293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126788">
      <w:bodyDiv w:val="1"/>
      <w:marLeft w:val="0"/>
      <w:marRight w:val="0"/>
      <w:marTop w:val="0"/>
      <w:marBottom w:val="0"/>
      <w:divBdr>
        <w:top w:val="none" w:sz="0" w:space="0" w:color="auto"/>
        <w:left w:val="none" w:sz="0" w:space="0" w:color="auto"/>
        <w:bottom w:val="none" w:sz="0" w:space="0" w:color="auto"/>
        <w:right w:val="none" w:sz="0" w:space="0" w:color="auto"/>
      </w:divBdr>
    </w:div>
    <w:div w:id="1263227044">
      <w:bodyDiv w:val="1"/>
      <w:marLeft w:val="0"/>
      <w:marRight w:val="0"/>
      <w:marTop w:val="0"/>
      <w:marBottom w:val="0"/>
      <w:divBdr>
        <w:top w:val="none" w:sz="0" w:space="0" w:color="auto"/>
        <w:left w:val="none" w:sz="0" w:space="0" w:color="auto"/>
        <w:bottom w:val="none" w:sz="0" w:space="0" w:color="auto"/>
        <w:right w:val="none" w:sz="0" w:space="0" w:color="auto"/>
      </w:divBdr>
    </w:div>
    <w:div w:id="1265647012">
      <w:bodyDiv w:val="1"/>
      <w:marLeft w:val="0"/>
      <w:marRight w:val="0"/>
      <w:marTop w:val="0"/>
      <w:marBottom w:val="0"/>
      <w:divBdr>
        <w:top w:val="none" w:sz="0" w:space="0" w:color="auto"/>
        <w:left w:val="none" w:sz="0" w:space="0" w:color="auto"/>
        <w:bottom w:val="none" w:sz="0" w:space="0" w:color="auto"/>
        <w:right w:val="none" w:sz="0" w:space="0" w:color="auto"/>
      </w:divBdr>
    </w:div>
    <w:div w:id="166404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Ilesanmi</dc:creator>
  <cp:keywords/>
  <dc:description/>
  <cp:lastModifiedBy>Blessing Ilesanmi</cp:lastModifiedBy>
  <cp:revision>4</cp:revision>
  <dcterms:created xsi:type="dcterms:W3CDTF">2026-05-22T11:16:00Z</dcterms:created>
  <dcterms:modified xsi:type="dcterms:W3CDTF">2026-05-22T11:18:00Z</dcterms:modified>
</cp:coreProperties>
</file>