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BDCF0" w14:textId="77777777" w:rsidR="00022AF0" w:rsidRPr="004E0559" w:rsidRDefault="00022AF0" w:rsidP="004E0559">
      <w:pPr>
        <w:jc w:val="center"/>
        <w:rPr>
          <w:rFonts w:ascii="Times New Roman" w:hAnsi="Times New Roman" w:cs="Times New Roman"/>
          <w:b/>
          <w:bCs/>
          <w:sz w:val="32"/>
          <w:szCs w:val="32"/>
        </w:rPr>
      </w:pPr>
      <w:r w:rsidRPr="004E0559">
        <w:rPr>
          <w:rFonts w:ascii="Times New Roman" w:hAnsi="Times New Roman" w:cs="Times New Roman"/>
          <w:b/>
          <w:bCs/>
          <w:sz w:val="32"/>
          <w:szCs w:val="32"/>
        </w:rPr>
        <w:t>EXECUTIVE INSIGHT REPORT</w:t>
      </w:r>
    </w:p>
    <w:p w14:paraId="7507D0F4" w14:textId="77777777" w:rsidR="00022AF0" w:rsidRPr="00022AF0" w:rsidRDefault="00022AF0" w:rsidP="004E0559">
      <w:pPr>
        <w:jc w:val="both"/>
        <w:rPr>
          <w:rFonts w:ascii="Times New Roman" w:hAnsi="Times New Roman" w:cs="Times New Roman"/>
          <w:b/>
          <w:bCs/>
          <w:sz w:val="24"/>
          <w:szCs w:val="24"/>
        </w:rPr>
      </w:pPr>
      <w:r w:rsidRPr="00022AF0">
        <w:rPr>
          <w:rFonts w:ascii="Times New Roman" w:hAnsi="Times New Roman" w:cs="Times New Roman"/>
          <w:b/>
          <w:bCs/>
          <w:sz w:val="24"/>
          <w:szCs w:val="24"/>
        </w:rPr>
        <w:t>Executive Summary</w:t>
      </w:r>
    </w:p>
    <w:p w14:paraId="2FDC093C"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This analysis provides a comprehensive evaluation of retail performance across sales, customers, products, returns, and supply chain operations. The objective is to support executive decision making by identifying key performance drivers and operational inefficiencies.</w:t>
      </w:r>
    </w:p>
    <w:p w14:paraId="275B0470" w14:textId="77777777" w:rsidR="00022AF0" w:rsidRPr="00022AF0" w:rsidRDefault="00022AF0" w:rsidP="004E0559">
      <w:pPr>
        <w:jc w:val="both"/>
        <w:rPr>
          <w:rFonts w:ascii="Times New Roman" w:hAnsi="Times New Roman" w:cs="Times New Roman"/>
          <w:sz w:val="24"/>
          <w:szCs w:val="24"/>
        </w:rPr>
      </w:pPr>
    </w:p>
    <w:p w14:paraId="5E63F14A"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The analysis reveals significant variation in product performance, customer contribution, and operational efficiency across the business.</w:t>
      </w:r>
    </w:p>
    <w:p w14:paraId="3680C121" w14:textId="77777777" w:rsidR="00022AF0" w:rsidRDefault="00022AF0" w:rsidP="004E0559">
      <w:pPr>
        <w:jc w:val="both"/>
        <w:rPr>
          <w:rFonts w:ascii="Times New Roman" w:hAnsi="Times New Roman" w:cs="Times New Roman"/>
          <w:b/>
          <w:bCs/>
          <w:sz w:val="24"/>
          <w:szCs w:val="24"/>
        </w:rPr>
      </w:pPr>
    </w:p>
    <w:p w14:paraId="504CAC4A" w14:textId="3B2C889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Key Findings</w:t>
      </w:r>
    </w:p>
    <w:p w14:paraId="287A839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Revenue Performance Is Well Distributed Across Categories</w:t>
      </w:r>
    </w:p>
    <w:p w14:paraId="7F167F6E"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business demonstrates a diversified revenue structure across product categories. Cat_5 generated the highest category revenue at approximately 136.7 million, followed closely by Cat_3, Cat_21, and Cat_26.</w:t>
      </w:r>
    </w:p>
    <w:p w14:paraId="1D23A7C8"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relatively small revenue gap between leading categories indicates that the organization is not overly dependent on a single category for revenue generation, reducing concentration risk.</w:t>
      </w:r>
    </w:p>
    <w:p w14:paraId="7BE87134" w14:textId="1460F741" w:rsidR="0056465A" w:rsidRPr="0056465A" w:rsidRDefault="0056465A" w:rsidP="004E0559">
      <w:pPr>
        <w:jc w:val="both"/>
        <w:rPr>
          <w:rFonts w:ascii="Times New Roman" w:hAnsi="Times New Roman" w:cs="Times New Roman"/>
          <w:sz w:val="24"/>
          <w:szCs w:val="24"/>
        </w:rPr>
      </w:pPr>
    </w:p>
    <w:p w14:paraId="1F4BD805"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High Performing Products Were Identified</w:t>
      </w:r>
    </w:p>
    <w:p w14:paraId="3BAB02AC"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Product 745 generated the highest individual product revenue at over 674 thousand, followed by products 8248, 4738, and 7363.</w:t>
      </w:r>
    </w:p>
    <w:p w14:paraId="2A924592" w14:textId="5A7E72B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products represent key commercial drivers and may require</w:t>
      </w:r>
      <w:r w:rsidR="00C8025D">
        <w:rPr>
          <w:rFonts w:ascii="Times New Roman" w:hAnsi="Times New Roman" w:cs="Times New Roman"/>
          <w:sz w:val="24"/>
          <w:szCs w:val="24"/>
        </w:rPr>
        <w:t xml:space="preserve"> these </w:t>
      </w:r>
      <w:r w:rsidR="00C8025D" w:rsidRPr="0056465A">
        <w:rPr>
          <w:rFonts w:ascii="Times New Roman" w:hAnsi="Times New Roman" w:cs="Times New Roman"/>
          <w:sz w:val="24"/>
          <w:szCs w:val="24"/>
        </w:rPr>
        <w:t>to sustain performance</w:t>
      </w:r>
      <w:r w:rsidR="00C8025D">
        <w:rPr>
          <w:rFonts w:ascii="Times New Roman" w:hAnsi="Times New Roman" w:cs="Times New Roman"/>
          <w:sz w:val="24"/>
          <w:szCs w:val="24"/>
        </w:rPr>
        <w:t>:</w:t>
      </w:r>
    </w:p>
    <w:p w14:paraId="4883B7A6"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prioritization </w:t>
      </w:r>
    </w:p>
    <w:p w14:paraId="00292B55"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continuity monitoring </w:t>
      </w:r>
    </w:p>
    <w:p w14:paraId="46700F0E"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targeted promotional support </w:t>
      </w:r>
    </w:p>
    <w:p w14:paraId="61F23125" w14:textId="66FA2438" w:rsidR="0056465A" w:rsidRPr="0056465A" w:rsidRDefault="0056465A" w:rsidP="004E0559">
      <w:pPr>
        <w:jc w:val="both"/>
        <w:rPr>
          <w:rFonts w:ascii="Times New Roman" w:hAnsi="Times New Roman" w:cs="Times New Roman"/>
          <w:sz w:val="24"/>
          <w:szCs w:val="24"/>
        </w:rPr>
      </w:pPr>
    </w:p>
    <w:p w14:paraId="235446BD"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Strong Revenue Categories Also Carry Significant Refund Exposure</w:t>
      </w:r>
    </w:p>
    <w:p w14:paraId="732A8285"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several categories delivered strong revenue performance, many also generated elevated refund losses.</w:t>
      </w:r>
    </w:p>
    <w:p w14:paraId="40DE1B8E"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Cat_11 recorded the highest refund exposure at approximately 2.78 million, followed closely by Cat_26, Cat_21, and Cat_12.</w:t>
      </w:r>
    </w:p>
    <w:p w14:paraId="23D3FE83"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Importantly, Cat_5, the top revenue generating category, also produced refund losses exceeding 2.66 million. This suggests that high sales performance alone may not translate into optimal profitability.</w:t>
      </w:r>
    </w:p>
    <w:p w14:paraId="16D7BEF6" w14:textId="254C6D9C" w:rsidR="0056465A" w:rsidRPr="0056465A" w:rsidRDefault="0056465A" w:rsidP="004E0559">
      <w:pPr>
        <w:jc w:val="both"/>
        <w:rPr>
          <w:rFonts w:ascii="Times New Roman" w:hAnsi="Times New Roman" w:cs="Times New Roman"/>
          <w:sz w:val="24"/>
          <w:szCs w:val="24"/>
        </w:rPr>
      </w:pPr>
    </w:p>
    <w:p w14:paraId="6DC58EE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Refund Activity Represents a Material Profitability Risk</w:t>
      </w:r>
    </w:p>
    <w:p w14:paraId="4F07FBD9"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Refund values remained consistently high across multiple categories, with most major categories exceeding 2 million in total refunds.</w:t>
      </w:r>
    </w:p>
    <w:p w14:paraId="00559C10"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widespread nature of refund exposure may indicate:</w:t>
      </w:r>
    </w:p>
    <w:p w14:paraId="6F50B853"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product quality inconsistencies </w:t>
      </w:r>
    </w:p>
    <w:p w14:paraId="06BC2FEF"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expectation gaps </w:t>
      </w:r>
    </w:p>
    <w:p w14:paraId="7C879559"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lastRenderedPageBreak/>
        <w:t xml:space="preserve">fulfillment related issues </w:t>
      </w:r>
    </w:p>
    <w:p w14:paraId="78797A01"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performance variability </w:t>
      </w:r>
    </w:p>
    <w:p w14:paraId="674A702C"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Further root cause analysis is recommended to reduce financial leakage.</w:t>
      </w:r>
    </w:p>
    <w:p w14:paraId="2DBE32E9" w14:textId="5C2A2AC2" w:rsidR="0056465A" w:rsidRPr="0056465A" w:rsidRDefault="0056465A" w:rsidP="004E0559">
      <w:pPr>
        <w:jc w:val="both"/>
        <w:rPr>
          <w:rFonts w:ascii="Times New Roman" w:hAnsi="Times New Roman" w:cs="Times New Roman"/>
          <w:sz w:val="24"/>
          <w:szCs w:val="24"/>
        </w:rPr>
      </w:pPr>
    </w:p>
    <w:p w14:paraId="74B3CFD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Supplier Performance Variation Indicates Operational Risk Differences</w:t>
      </w:r>
    </w:p>
    <w:p w14:paraId="3139319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Supplier return rates ranged between approximately 3.84% and 5.79%.</w:t>
      </w:r>
    </w:p>
    <w:p w14:paraId="7A312B0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Suppliers with elevated return rates may require:</w:t>
      </w:r>
    </w:p>
    <w:p w14:paraId="4B4C80F6"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additional quality monitoring </w:t>
      </w:r>
    </w:p>
    <w:p w14:paraId="50FC39E7"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contract review </w:t>
      </w:r>
    </w:p>
    <w:p w14:paraId="77463944" w14:textId="77777777" w:rsidR="0056465A" w:rsidRPr="0056465A" w:rsidRDefault="0056465A" w:rsidP="004E0559">
      <w:pPr>
        <w:numPr>
          <w:ilvl w:val="0"/>
          <w:numId w:val="9"/>
        </w:numPr>
        <w:jc w:val="both"/>
        <w:rPr>
          <w:rFonts w:ascii="Times New Roman" w:hAnsi="Times New Roman" w:cs="Times New Roman"/>
          <w:sz w:val="24"/>
          <w:szCs w:val="24"/>
        </w:rPr>
      </w:pPr>
      <w:r w:rsidRPr="0056465A">
        <w:rPr>
          <w:rFonts w:ascii="Times New Roman" w:hAnsi="Times New Roman" w:cs="Times New Roman"/>
          <w:sz w:val="24"/>
          <w:szCs w:val="24"/>
        </w:rPr>
        <w:t xml:space="preserve">operational evaluation </w:t>
      </w:r>
    </w:p>
    <w:p w14:paraId="5C0FEA8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to reduce return related business risk.</w:t>
      </w:r>
    </w:p>
    <w:p w14:paraId="69A5FF02" w14:textId="58B738BB" w:rsidR="0056465A" w:rsidRPr="0056465A" w:rsidRDefault="0056465A" w:rsidP="004E0559">
      <w:pPr>
        <w:jc w:val="both"/>
        <w:rPr>
          <w:rFonts w:ascii="Times New Roman" w:hAnsi="Times New Roman" w:cs="Times New Roman"/>
          <w:sz w:val="24"/>
          <w:szCs w:val="24"/>
        </w:rPr>
      </w:pPr>
    </w:p>
    <w:p w14:paraId="2034DD20"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6. Shipment Operations Show Significant Late Delivery Volume</w:t>
      </w:r>
    </w:p>
    <w:p w14:paraId="2713CF98"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Shipment analysis revealed operational inefficiencies across logistics processes.</w:t>
      </w:r>
    </w:p>
    <w:p w14:paraId="3E0FD22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approximately 99 thousand shipments were successfully delivered, a nearly identical number of shipments were classified as late. The volume of late deliveries indicates opportunities to improve logistics coordination and fulfillment efficiency.</w:t>
      </w:r>
    </w:p>
    <w:p w14:paraId="7FFF385A"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Reducing shipment delays could positively impact:</w:t>
      </w:r>
    </w:p>
    <w:p w14:paraId="7D21C862"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satisfaction </w:t>
      </w:r>
    </w:p>
    <w:p w14:paraId="141142D4"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repeat purchases </w:t>
      </w:r>
    </w:p>
    <w:p w14:paraId="753D6FCB"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return reduction </w:t>
      </w:r>
    </w:p>
    <w:p w14:paraId="50F6A21A" w14:textId="080846C3" w:rsidR="0056465A" w:rsidRPr="0056465A" w:rsidRDefault="0056465A" w:rsidP="004E0559">
      <w:pPr>
        <w:jc w:val="both"/>
        <w:rPr>
          <w:rFonts w:ascii="Times New Roman" w:hAnsi="Times New Roman" w:cs="Times New Roman"/>
          <w:sz w:val="24"/>
          <w:szCs w:val="24"/>
        </w:rPr>
      </w:pPr>
    </w:p>
    <w:p w14:paraId="20B593E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7. Revenue Trends Show Seasonal Stability with Recurring Peaks</w:t>
      </w:r>
    </w:p>
    <w:p w14:paraId="70F76080"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Revenue performance remained relatively stable between 2020 and 2023, with recurring revenue peaks observed during:</w:t>
      </w:r>
    </w:p>
    <w:p w14:paraId="5D3E0410"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July </w:t>
      </w:r>
    </w:p>
    <w:p w14:paraId="2F2EB381"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October </w:t>
      </w:r>
    </w:p>
    <w:p w14:paraId="2DA91F9A"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December </w:t>
      </w:r>
    </w:p>
    <w:p w14:paraId="4C2E123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December 2020 generated the highest monthly revenue at approximately 83.4 million.</w:t>
      </w:r>
    </w:p>
    <w:p w14:paraId="1E7D9575"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February consistently recorded lower revenue performance across multiple years, suggesting potential seasonal demand fluctuations.</w:t>
      </w:r>
    </w:p>
    <w:p w14:paraId="52DB7C4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patterns provide valuable input for:</w:t>
      </w:r>
    </w:p>
    <w:p w14:paraId="493C64CC"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demand forecasting </w:t>
      </w:r>
    </w:p>
    <w:p w14:paraId="2CF3C33F"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planning </w:t>
      </w:r>
    </w:p>
    <w:p w14:paraId="1E961943"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promotional scheduling </w:t>
      </w:r>
    </w:p>
    <w:p w14:paraId="7F53DCDA" w14:textId="408F5EBD" w:rsidR="0056465A" w:rsidRPr="0056465A" w:rsidRDefault="0056465A" w:rsidP="004E0559">
      <w:pPr>
        <w:jc w:val="both"/>
        <w:rPr>
          <w:rFonts w:ascii="Times New Roman" w:hAnsi="Times New Roman" w:cs="Times New Roman"/>
          <w:sz w:val="24"/>
          <w:szCs w:val="24"/>
        </w:rPr>
      </w:pPr>
    </w:p>
    <w:p w14:paraId="4F4C9C4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Strategic Recommendations</w:t>
      </w:r>
    </w:p>
    <w:p w14:paraId="4913CD5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Improve Refund Reduction Programs</w:t>
      </w:r>
    </w:p>
    <w:p w14:paraId="17B89CD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Prioritize investigation into high refund categories such as Cat_11, Cat_26, and Cat_21 to identify root causes and improve profitability.</w:t>
      </w:r>
    </w:p>
    <w:p w14:paraId="20663DC6" w14:textId="57323F77" w:rsidR="0056465A" w:rsidRPr="0056465A" w:rsidRDefault="0056465A" w:rsidP="004E0559">
      <w:pPr>
        <w:jc w:val="both"/>
        <w:rPr>
          <w:rFonts w:ascii="Times New Roman" w:hAnsi="Times New Roman" w:cs="Times New Roman"/>
          <w:sz w:val="24"/>
          <w:szCs w:val="24"/>
        </w:rPr>
      </w:pPr>
    </w:p>
    <w:p w14:paraId="0D5CA1F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Strengthen Supplier Governance</w:t>
      </w:r>
    </w:p>
    <w:p w14:paraId="35BE035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Implement supplier scorecards that combine revenue contribution and return performance to better manage operational risk.</w:t>
      </w:r>
    </w:p>
    <w:p w14:paraId="55937B3F" w14:textId="3DB9AB05" w:rsidR="0056465A" w:rsidRPr="0056465A" w:rsidRDefault="0056465A" w:rsidP="004E0559">
      <w:pPr>
        <w:jc w:val="both"/>
        <w:rPr>
          <w:rFonts w:ascii="Times New Roman" w:hAnsi="Times New Roman" w:cs="Times New Roman"/>
          <w:sz w:val="24"/>
          <w:szCs w:val="24"/>
        </w:rPr>
      </w:pPr>
    </w:p>
    <w:p w14:paraId="15EBFAC7"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Optimize Shipment Operations</w:t>
      </w:r>
    </w:p>
    <w:p w14:paraId="1900646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Reduce late shipment volume through operational process improvements and logistics performance monitoring.</w:t>
      </w:r>
    </w:p>
    <w:p w14:paraId="3F19BC62" w14:textId="16E2C326" w:rsidR="0056465A" w:rsidRPr="0056465A" w:rsidRDefault="0056465A" w:rsidP="004E0559">
      <w:pPr>
        <w:jc w:val="both"/>
        <w:rPr>
          <w:rFonts w:ascii="Times New Roman" w:hAnsi="Times New Roman" w:cs="Times New Roman"/>
          <w:sz w:val="24"/>
          <w:szCs w:val="24"/>
        </w:rPr>
      </w:pPr>
    </w:p>
    <w:p w14:paraId="595CCF1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Prioritize High Performing Products</w:t>
      </w:r>
    </w:p>
    <w:p w14:paraId="5880CCB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Ensure inventory stability and supply continuity for top revenue generating products such as product 745 and other leading SKUs.</w:t>
      </w:r>
    </w:p>
    <w:p w14:paraId="603A66E3" w14:textId="1465449A" w:rsidR="0056465A" w:rsidRPr="0056465A" w:rsidRDefault="0056465A" w:rsidP="004E0559">
      <w:pPr>
        <w:jc w:val="both"/>
        <w:rPr>
          <w:rFonts w:ascii="Times New Roman" w:hAnsi="Times New Roman" w:cs="Times New Roman"/>
          <w:sz w:val="24"/>
          <w:szCs w:val="24"/>
        </w:rPr>
      </w:pPr>
    </w:p>
    <w:p w14:paraId="3B8A0D93"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Improve Seasonal Planning</w:t>
      </w:r>
    </w:p>
    <w:p w14:paraId="3A37849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Leverage recurring revenue peaks during Q3 and Q4 periods to improve inventory forecasting and promotional strategy execution.</w:t>
      </w:r>
    </w:p>
    <w:p w14:paraId="7EE65391" w14:textId="0C05797A" w:rsidR="0056465A" w:rsidRPr="0056465A" w:rsidRDefault="0056465A" w:rsidP="004E0559">
      <w:pPr>
        <w:jc w:val="both"/>
        <w:rPr>
          <w:rFonts w:ascii="Times New Roman" w:hAnsi="Times New Roman" w:cs="Times New Roman"/>
          <w:sz w:val="24"/>
          <w:szCs w:val="24"/>
        </w:rPr>
      </w:pPr>
    </w:p>
    <w:p w14:paraId="6520E32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Conclusion</w:t>
      </w:r>
    </w:p>
    <w:p w14:paraId="41F50BAD" w14:textId="6B75AA18"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analysis indicates that the business maintains strong and diversified revenue generation across categories and products. However, elevated refund activity and significant late shipment volume present measurable operational and profitability risks.</w:t>
      </w:r>
      <w:r w:rsidR="00C8025D">
        <w:rPr>
          <w:rFonts w:ascii="Times New Roman" w:hAnsi="Times New Roman" w:cs="Times New Roman"/>
          <w:sz w:val="24"/>
          <w:szCs w:val="24"/>
        </w:rPr>
        <w:t xml:space="preserve"> </w:t>
      </w:r>
      <w:r w:rsidRPr="0056465A">
        <w:rPr>
          <w:rFonts w:ascii="Times New Roman" w:hAnsi="Times New Roman" w:cs="Times New Roman"/>
          <w:sz w:val="24"/>
          <w:szCs w:val="24"/>
        </w:rPr>
        <w:t>Addressing these operational inefficiencies while protecting high performing revenue drivers will strengthen long term profitability, customer satisfaction, and supply chain performance.</w:t>
      </w:r>
    </w:p>
    <w:p w14:paraId="0A736D4B" w14:textId="77777777" w:rsidR="004C7EAF" w:rsidRPr="0056465A" w:rsidRDefault="004C7EAF" w:rsidP="004E0559">
      <w:pPr>
        <w:jc w:val="both"/>
        <w:rPr>
          <w:rFonts w:ascii="Times New Roman" w:hAnsi="Times New Roman" w:cs="Times New Roman"/>
          <w:sz w:val="24"/>
          <w:szCs w:val="24"/>
        </w:rPr>
      </w:pPr>
    </w:p>
    <w:sectPr w:rsidR="004C7EAF" w:rsidRPr="0056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FA8"/>
    <w:multiLevelType w:val="multilevel"/>
    <w:tmpl w:val="7C8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31139"/>
    <w:multiLevelType w:val="multilevel"/>
    <w:tmpl w:val="F9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C6EEA"/>
    <w:multiLevelType w:val="multilevel"/>
    <w:tmpl w:val="CCD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C3FC2"/>
    <w:multiLevelType w:val="multilevel"/>
    <w:tmpl w:val="93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B35F92"/>
    <w:multiLevelType w:val="multilevel"/>
    <w:tmpl w:val="4C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D30E8"/>
    <w:multiLevelType w:val="multilevel"/>
    <w:tmpl w:val="BFA8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9FD"/>
    <w:multiLevelType w:val="multilevel"/>
    <w:tmpl w:val="06C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F2690A"/>
    <w:multiLevelType w:val="multilevel"/>
    <w:tmpl w:val="CC8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BA1235"/>
    <w:multiLevelType w:val="multilevel"/>
    <w:tmpl w:val="4B64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41002"/>
    <w:multiLevelType w:val="multilevel"/>
    <w:tmpl w:val="A31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80490"/>
    <w:multiLevelType w:val="multilevel"/>
    <w:tmpl w:val="6C2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90FF6"/>
    <w:multiLevelType w:val="multilevel"/>
    <w:tmpl w:val="09B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915361">
    <w:abstractNumId w:val="9"/>
  </w:num>
  <w:num w:numId="2" w16cid:durableId="1990360914">
    <w:abstractNumId w:val="8"/>
  </w:num>
  <w:num w:numId="3" w16cid:durableId="923998298">
    <w:abstractNumId w:val="11"/>
  </w:num>
  <w:num w:numId="4" w16cid:durableId="1991205646">
    <w:abstractNumId w:val="2"/>
  </w:num>
  <w:num w:numId="5" w16cid:durableId="1262690046">
    <w:abstractNumId w:val="7"/>
  </w:num>
  <w:num w:numId="6" w16cid:durableId="1024786977">
    <w:abstractNumId w:val="5"/>
  </w:num>
  <w:num w:numId="7" w16cid:durableId="592055429">
    <w:abstractNumId w:val="4"/>
  </w:num>
  <w:num w:numId="8" w16cid:durableId="1990208881">
    <w:abstractNumId w:val="10"/>
  </w:num>
  <w:num w:numId="9" w16cid:durableId="2093163390">
    <w:abstractNumId w:val="3"/>
  </w:num>
  <w:num w:numId="10" w16cid:durableId="1679044897">
    <w:abstractNumId w:val="6"/>
  </w:num>
  <w:num w:numId="11" w16cid:durableId="2081175509">
    <w:abstractNumId w:val="0"/>
  </w:num>
  <w:num w:numId="12" w16cid:durableId="840776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A3"/>
    <w:rsid w:val="00022AF0"/>
    <w:rsid w:val="00343DA3"/>
    <w:rsid w:val="004C7EAF"/>
    <w:rsid w:val="004E0559"/>
    <w:rsid w:val="0056465A"/>
    <w:rsid w:val="00C80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B76B"/>
  <w15:chartTrackingRefBased/>
  <w15:docId w15:val="{A26A4548-9C42-4301-A3C9-9235D2939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6788">
      <w:bodyDiv w:val="1"/>
      <w:marLeft w:val="0"/>
      <w:marRight w:val="0"/>
      <w:marTop w:val="0"/>
      <w:marBottom w:val="0"/>
      <w:divBdr>
        <w:top w:val="none" w:sz="0" w:space="0" w:color="auto"/>
        <w:left w:val="none" w:sz="0" w:space="0" w:color="auto"/>
        <w:bottom w:val="none" w:sz="0" w:space="0" w:color="auto"/>
        <w:right w:val="none" w:sz="0" w:space="0" w:color="auto"/>
      </w:divBdr>
    </w:div>
    <w:div w:id="1263227044">
      <w:bodyDiv w:val="1"/>
      <w:marLeft w:val="0"/>
      <w:marRight w:val="0"/>
      <w:marTop w:val="0"/>
      <w:marBottom w:val="0"/>
      <w:divBdr>
        <w:top w:val="none" w:sz="0" w:space="0" w:color="auto"/>
        <w:left w:val="none" w:sz="0" w:space="0" w:color="auto"/>
        <w:bottom w:val="none" w:sz="0" w:space="0" w:color="auto"/>
        <w:right w:val="none" w:sz="0" w:space="0" w:color="auto"/>
      </w:divBdr>
    </w:div>
    <w:div w:id="1265647012">
      <w:bodyDiv w:val="1"/>
      <w:marLeft w:val="0"/>
      <w:marRight w:val="0"/>
      <w:marTop w:val="0"/>
      <w:marBottom w:val="0"/>
      <w:divBdr>
        <w:top w:val="none" w:sz="0" w:space="0" w:color="auto"/>
        <w:left w:val="none" w:sz="0" w:space="0" w:color="auto"/>
        <w:bottom w:val="none" w:sz="0" w:space="0" w:color="auto"/>
        <w:right w:val="none" w:sz="0" w:space="0" w:color="auto"/>
      </w:divBdr>
    </w:div>
    <w:div w:id="166404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721</Words>
  <Characters>4116</Characters>
  <Application>Microsoft Office Word</Application>
  <DocSecurity>0</DocSecurity>
  <Lines>34</Lines>
  <Paragraphs>9</Paragraphs>
  <ScaleCrop>false</ScaleCrop>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5</cp:revision>
  <dcterms:created xsi:type="dcterms:W3CDTF">2026-05-22T11:16:00Z</dcterms:created>
  <dcterms:modified xsi:type="dcterms:W3CDTF">2026-05-22T11:28:00Z</dcterms:modified>
</cp:coreProperties>
</file>