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rPr>
          <w:sz w:val="48"/>
          <w:szCs w:val="48"/>
        </w:rPr>
        <w:t xml:space="preserve"> </w:t>
      </w:r>
    </w:p>
    <w:p>
      <w:pPr>
        <w:spacing w:after="60" w:before="60"/>
        <w:jc w:val="center"/>
      </w:pPr>
      <w:r>
        <w:rPr>
          <w:rFonts w:ascii="Arial" w:cs="Arial" w:eastAsia="Arial" w:hAnsi="Arial"/>
          <w:b/>
          <w:bCs/>
          <w:color w:val="1A6B3C"/>
          <w:sz w:val="28"/>
          <w:szCs w:val="28"/>
        </w:rPr>
        <w:t xml:space="preserve">SECRETARÍA DE SALUD DE VERACRUZ</w:t>
      </w:r>
    </w:p>
    <w:p>
      <w:pPr>
        <w:spacing w:after="40" w:before="40"/>
        <w:jc w:val="center"/>
      </w:pPr>
      <w:r>
        <w:rPr>
          <w:rFonts w:ascii="Arial" w:cs="Arial" w:eastAsia="Arial" w:hAnsi="Arial"/>
          <w:color w:val="003087"/>
          <w:sz w:val="24"/>
          <w:szCs w:val="24"/>
        </w:rPr>
        <w:t xml:space="preserve">Subdirección de Enseñanza, Investigación y Capacitación</w:t>
      </w:r>
    </w:p>
    <w:p>
      <w:pPr>
        <w:spacing w:after="240" w:before="40"/>
        <w:jc w:val="center"/>
      </w:pPr>
      <w:r>
        <w:rPr>
          <w:rFonts w:ascii="Arial" w:cs="Arial" w:eastAsia="Arial" w:hAnsi="Arial"/>
          <w:color w:val="003087"/>
          <w:sz w:val="24"/>
          <w:szCs w:val="24"/>
        </w:rPr>
        <w:t xml:space="preserve">Departamento de Desarrollo del Potencial Humano</w:t>
      </w:r>
    </w:p>
    <w:p>
      <w:pPr>
        <w:spacing w:after="60" w:before="60"/>
        <w:jc w:val="center"/>
      </w:pPr>
      <w:r>
        <w:rPr>
          <w:rFonts w:ascii="Arial" w:cs="Arial" w:eastAsia="Arial" w:hAnsi="Arial"/>
          <w:color w:val="1A6B3C"/>
          <w:sz w:val="24"/>
          <w:szCs w:val="24"/>
        </w:rPr>
        <w:t xml:space="preserve">────────────────────────────────────────────────</w:t>
      </w:r>
    </w:p>
    <w:p>
      <w:pPr>
        <w:spacing w:after="60" w:before="120"/>
        <w:jc w:val="center"/>
      </w:pPr>
      <w:r>
        <w:rPr>
          <w:rFonts w:ascii="Arial" w:cs="Arial" w:eastAsia="Arial" w:hAnsi="Arial"/>
          <w:b/>
          <w:bCs/>
          <w:color w:val="1A6B3C"/>
          <w:sz w:val="48"/>
          <w:szCs w:val="48"/>
        </w:rPr>
        <w:t xml:space="preserve">TALLER</w:t>
      </w:r>
    </w:p>
    <w:p>
      <w:pPr>
        <w:spacing w:after="120" w:before="60"/>
        <w:jc w:val="center"/>
      </w:pPr>
      <w:r>
        <w:rPr>
          <w:rFonts w:ascii="Arial" w:cs="Arial" w:eastAsia="Arial" w:hAnsi="Arial"/>
          <w:b/>
          <w:bCs/>
          <w:color w:val="003087"/>
          <w:sz w:val="36"/>
          <w:szCs w:val="36"/>
        </w:rPr>
        <w:t xml:space="preserve">DESARROLLO DEL POTENCIAL HUMANO
EN LOS SERVICIOS DE SALUD DE VERACRUZ</w:t>
      </w:r>
    </w:p>
    <w:p>
      <w:pPr>
        <w:spacing w:after="120" w:before="60"/>
        <w:jc w:val="center"/>
      </w:pPr>
      <w:r>
        <w:rPr>
          <w:rFonts w:ascii="Arial" w:cs="Arial" w:eastAsia="Arial" w:hAnsi="Arial"/>
          <w:color w:val="1A6B3C"/>
          <w:sz w:val="24"/>
          <w:szCs w:val="24"/>
        </w:rPr>
        <w:t xml:space="preserve">────────────────────────────────────────────────</w:t>
      </w:r>
    </w:p>
    <w:p>
      <w:pPr>
        <w:spacing w:after="240" w:before="60"/>
        <w:jc w:val="center"/>
      </w:pPr>
      <w:r>
        <w:rPr>
          <w:rFonts w:ascii="Arial" w:cs="Arial" w:eastAsia="Arial" w:hAnsi="Arial"/>
          <w:color w:val="4A4A4A"/>
          <w:sz w:val="24"/>
          <w:szCs w:val="24"/>
        </w:rPr>
        <w:t xml:space="preserve">Formación de Responsables de Centros de Salud y
Enlaces del Departamento de Desarrollo del Potencial Humano</w:t>
      </w:r>
    </w:p>
    <w:p>
      <w:pPr>
        <w:spacing w:after="60" w:before="60"/>
        <w:jc w:val="center"/>
      </w:pPr>
      <w:r>
        <w:rPr>
          <w:rFonts w:ascii="Arial" w:cs="Arial" w:eastAsia="Arial" w:hAnsi="Arial"/>
          <w:b/>
          <w:bCs/>
          <w:color w:val="4A4A4A"/>
          <w:sz w:val="22"/>
          <w:szCs w:val="22"/>
        </w:rPr>
        <w:t xml:space="preserve">Duración: 40 horas  |  Participantes: 30 personas  |  Modalidad: Presencial grupal</w:t>
      </w:r>
    </w:p>
    <w:p>
      <w:pPr>
        <w:spacing w:after="60" w:before="60"/>
        <w:jc w:val="center"/>
      </w:pPr>
      <w:r>
        <w:rPr>
          <w:rFonts w:ascii="Arial" w:cs="Arial" w:eastAsia="Arial" w:hAnsi="Arial"/>
          <w:b/>
          <w:bCs/>
          <w:color w:val="C0392B"/>
          <w:sz w:val="22"/>
          <w:szCs w:val="22"/>
        </w:rPr>
        <w:t xml:space="preserve">Alineado al Estándar de Competencia EC0301 – CONOCER</w:t>
      </w:r>
    </w:p>
    <w:p>
      <w:pPr>
        <w:spacing w:after="120" w:before="240"/>
        <w:jc w:val="center"/>
      </w:pPr>
      <w:r>
        <w:rPr>
          <w:rFonts w:ascii="Arial" w:cs="Arial" w:eastAsia="Arial" w:hAnsi="Arial"/>
          <w:color w:val="4A4A4A"/>
          <w:sz w:val="22"/>
          <w:szCs w:val="22"/>
        </w:rPr>
        <w:t xml:space="preserve">Xalapa, Veracruz, 2025</w:t>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I. IDENTIFICACIÓN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Nombre del taller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Desarrollo del Potencial Humano en los Servicios de Salud de Veracruz</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Modalidad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Presencial grupal</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Duración total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horas</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Distribución sugerida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jornadas de 8 horas o 10 sesiones de 4 horas</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Número de módulos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módulos</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Número de participantes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personas (grupo óptimo según EC0301)</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Nivel educativo mínimo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Licenciatura o técnico superior (personal de salud en activo)</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Perfil de los participantes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Responsables de centros de salud y enlaces del Departamento de Desarrollo del Potencial Humano (DPH), adscritos a las jurisdicciones sanitarias, unidades hospitalarias y órganos desconcentrados de los Servicios de Salud de Veracruz (SESVER)</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Institución promotora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Secretaría de Salud de Veracruz (SESVER) – Departamento de Desarrollo del Potencial Humano</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Estándar de referencia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EC0301: Diseño de cursos de formación del capital humano de manera presencial grupal, sus instrumentos de evaluación y manuales del curso (CONOCER)</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Alineación normativa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ODS 3 (Salud y Bienestar), ODS 16 (Paz, Justicia e Instituciones Sólidas), ODS 10 (Reducción de Desigualdades); CNDH; NOM-046-SSA2-2005; Ley General de Salud</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Fecha de elaboración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2025</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Área responsable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Departamento de Desarrollo del Potencial Humano – SEIC – SESVER</w:t>
            </w:r>
          </w:p>
        </w:tc>
      </w:tr>
    </w:tbl>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II. JUSTIFICACIÓN</w:t>
      </w:r>
    </w:p>
    <w:p>
      <w:pPr>
        <w:spacing w:after="60" w:before="60"/>
        <w:jc w:val="both"/>
      </w:pPr>
      <w:r>
        <w:rPr>
          <w:rFonts w:ascii="Arial" w:cs="Arial" w:eastAsia="Arial" w:hAnsi="Arial"/>
          <w:color w:val="1A1A1A"/>
          <w:sz w:val="22"/>
          <w:szCs w:val="22"/>
        </w:rPr>
        <w:t xml:space="preserve">El desarrollo del potencial humano (DPH) constituye un eje estratégico de transformación institucional que trasciende la gestión convencional del talento. En el contexto de los sistemas de salud públicos, este enfoque cobra especial relevancia al considerar que la calidad de la atención brindada a la población usuaria depende, en última instancia, de las capacidades cognitivas, emocionales, éticas y relacionales del personal sanitario (Organización Mundial de la Salud [OMS], 2022).</w:t>
      </w:r>
    </w:p>
    <w:p>
      <w:pPr>
        <w:spacing w:after="60" w:before="60"/>
        <w:jc w:val="both"/>
      </w:pPr>
      <w:r>
        <w:rPr>
          <w:rFonts w:ascii="Arial" w:cs="Arial" w:eastAsia="Arial" w:hAnsi="Arial"/>
          <w:color w:val="1A1A1A"/>
          <w:sz w:val="22"/>
          <w:szCs w:val="22"/>
        </w:rPr>
        <w:t xml:space="preserve">Los Servicios de Salud de Veracruz (SESVER) reconocen esta realidad al establecer, en la misión del Departamento de Desarrollo del Potencial Humano (DPH), el compromiso de impulsar la integración de los principios del desarrollo humano y el impacto de los derechos humanos en el ámbito sanitario, asegurando el bienestar laboral y personal, así como una calidad óptima en los servicios y un trato adecuado a las personas usuarias (Secretaría de Salud de Veracruz [SESVER], 2025).</w:t>
      </w:r>
    </w:p>
    <w:p>
      <w:pPr>
        <w:spacing w:after="60" w:before="60"/>
        <w:jc w:val="both"/>
      </w:pPr>
      <w:r>
        <w:rPr>
          <w:rFonts w:ascii="Arial" w:cs="Arial" w:eastAsia="Arial" w:hAnsi="Arial"/>
          <w:color w:val="1A1A1A"/>
          <w:sz w:val="22"/>
          <w:szCs w:val="22"/>
        </w:rPr>
        <w:t xml:space="preserve">Sin embargo, la implementación efectiva de estrategias de DPH en los niveles operativos de atención primaria y hospitalaria enfrenta un desafío estructural crítico: la distancia entre las intenciones institucionales y las prácticas concretas del personal en contacto directo con la población. Esta brecha se profundiza cuando los cuadros medios —responsables de centros de salud y enlaces de DPH— carecen de herramientas conceptuales, metodológicas y actitudinales para traducir los marcos normativos en acciones cotidianas de capacitación, sensibilización y acompañamiento.</w:t>
      </w:r>
    </w:p>
    <w:p>
      <w:pPr>
        <w:spacing w:after="60" w:before="60"/>
        <w:jc w:val="both"/>
      </w:pPr>
      <w:r>
        <w:rPr>
          <w:rFonts w:ascii="Arial" w:cs="Arial" w:eastAsia="Arial" w:hAnsi="Arial"/>
          <w:color w:val="1A1A1A"/>
          <w:sz w:val="22"/>
          <w:szCs w:val="22"/>
        </w:rPr>
        <w:t xml:space="preserve">En ese marco, la formación de estos actores estratégicos resulta indispensable. La Comisión Nacional de los Derechos Humanos (CNDH) ha reiterado que la garantía del derecho a la protección de la salud exige no solo infraestructura y medicamentos, sino también un trato digno, respetuoso e inclusivo, libre de cualquier forma de discriminación (Comisión Nacional de los Derechos Humanos [CNDH], 2024). Asimismo, la Agenda 2030 de las Naciones Unidas, a través del Objetivo de Desarrollo Sostenible 3 (ODS 3), subraya la necesidad de garantizar una vida saludable y promover el bienestar de todos y todas (Naciones Unidas, 2015, actualizado 2024).</w:t>
      </w:r>
    </w:p>
    <w:p>
      <w:pPr>
        <w:spacing w:after="60" w:before="60"/>
        <w:jc w:val="both"/>
      </w:pPr>
      <w:r>
        <w:rPr>
          <w:rFonts w:ascii="Arial" w:cs="Arial" w:eastAsia="Arial" w:hAnsi="Arial"/>
          <w:color w:val="1A1A1A"/>
          <w:sz w:val="22"/>
          <w:szCs w:val="22"/>
        </w:rPr>
        <w:t xml:space="preserve">El presente taller responde a este imperativo ético, institucional y normativo. Está diseñado para dotar a responsables de centros de salud y enlaces de DPH de los conocimientos, habilidades y actitudes necesarias para comprender, apropiar y replicar estrategias de desarrollo del potencial humano con enfoque de derechos humanos en sus respectivos entornos de trabajo.</w:t>
      </w:r>
    </w:p>
    <w:p>
      <w:pPr>
        <w:spacing w:after="60" w:before="60"/>
        <w:jc w:val="both"/>
      </w:pPr>
      <w:r>
        <w:rPr>
          <w:rFonts w:ascii="Arial" w:cs="Arial" w:eastAsia="Arial" w:hAnsi="Arial"/>
          <w:color w:val="1A1A1A"/>
          <w:sz w:val="22"/>
          <w:szCs w:val="22"/>
        </w:rPr>
        <w:t xml:space="preserve">La pertinencia de este diseño se refuerza por su alineación con el Estándar de Competencia EC0301 del Consejo Nacional de Normalización y Certificación de Competencias Laborales (CONOCER), lo que garantiza rigor metodológico en el diseño instruccional, la elaboración de instrumentos de evaluación y el desarrollo de manuales del curso (CONOCER, 2021).</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III. OBJETIVOS</w:t>
      </w:r>
    </w:p>
    <w:p>
      <w:pPr>
        <w:pStyle w:val="Heading2"/>
        <w:spacing w:after="120" w:before="240"/>
      </w:pPr>
      <w:r>
        <w:rPr>
          <w:rFonts w:ascii="Arial" w:cs="Arial" w:eastAsia="Arial" w:hAnsi="Arial"/>
          <w:b/>
          <w:bCs/>
          <w:color w:val="003087"/>
          <w:sz w:val="26"/>
          <w:szCs w:val="26"/>
        </w:rPr>
        <w:t xml:space="preserve">3.1 Objetivo General</w:t>
      </w:r>
    </w:p>
    <w:p>
      <w:pPr>
        <w:spacing w:after="60" w:before="60"/>
        <w:jc w:val="both"/>
      </w:pPr>
      <w:r>
        <w:rPr>
          <w:rFonts w:ascii="Arial" w:cs="Arial" w:eastAsia="Arial" w:hAnsi="Arial"/>
          <w:color w:val="1A1A1A"/>
          <w:sz w:val="22"/>
          <w:szCs w:val="22"/>
        </w:rPr>
        <w:t xml:space="preserve">Al concluir el taller, las personas participantes serán capaces de diseñar, implementar y evaluar acciones de desarrollo del potencial humano en sus centros de salud o unidades de adscripción, con enfoque humanista, de derechos humanos e inclusión, articulando marcos teóricos, herramientas metodológicas y evidencias prácticas para promover el bienestar laboral y la calidad de la atención en los Servicios de Salud de Veracruz.</w:t>
      </w:r>
    </w:p>
    <w:p>
      <w:pPr>
        <w:pStyle w:val="Heading2"/>
        <w:spacing w:after="120" w:before="240"/>
      </w:pPr>
      <w:r>
        <w:rPr>
          <w:rFonts w:ascii="Arial" w:cs="Arial" w:eastAsia="Arial" w:hAnsi="Arial"/>
          <w:b/>
          <w:bCs/>
          <w:color w:val="003087"/>
          <w:sz w:val="26"/>
          <w:szCs w:val="26"/>
        </w:rPr>
        <w:t xml:space="preserve">3.2 Objetivos Específicos</w:t>
      </w:r>
    </w:p>
    <w:p>
      <w:pPr>
        <w:pStyle w:val="ListParagraph"/>
        <w:numPr>
          <w:ilvl w:val="0"/>
          <w:numId w:val="2"/>
        </w:numPr>
        <w:spacing w:after="40" w:before="40"/>
      </w:pPr>
      <w:r>
        <w:rPr>
          <w:rFonts w:ascii="Arial" w:cs="Arial" w:eastAsia="Arial" w:hAnsi="Arial"/>
          <w:color w:val="1A1A1A"/>
          <w:sz w:val="22"/>
          <w:szCs w:val="22"/>
        </w:rPr>
        <w:t xml:space="preserve">Identificar los fundamentos conceptuales del desarrollo del potencial humano, sus enfoques teóricos y su aplicación en contextos de salud pública.</w:t>
      </w:r>
    </w:p>
    <w:p>
      <w:pPr>
        <w:pStyle w:val="ListParagraph"/>
        <w:numPr>
          <w:ilvl w:val="0"/>
          <w:numId w:val="2"/>
        </w:numPr>
        <w:spacing w:after="40" w:before="40"/>
      </w:pPr>
      <w:r>
        <w:rPr>
          <w:rFonts w:ascii="Arial" w:cs="Arial" w:eastAsia="Arial" w:hAnsi="Arial"/>
          <w:color w:val="1A1A1A"/>
          <w:sz w:val="22"/>
          <w:szCs w:val="22"/>
        </w:rPr>
        <w:t xml:space="preserve">Analizar el marco normativo internacional, nacional y estatal en materia de derechos humanos aplicado al ámbito sanitario, con énfasis en el trato adecuado a la persona usuaria.</w:t>
      </w:r>
    </w:p>
    <w:p>
      <w:pPr>
        <w:pStyle w:val="ListParagraph"/>
        <w:numPr>
          <w:ilvl w:val="0"/>
          <w:numId w:val="2"/>
        </w:numPr>
        <w:spacing w:after="40" w:before="40"/>
      </w:pPr>
      <w:r>
        <w:rPr>
          <w:rFonts w:ascii="Arial" w:cs="Arial" w:eastAsia="Arial" w:hAnsi="Arial"/>
          <w:color w:val="1A1A1A"/>
          <w:sz w:val="22"/>
          <w:szCs w:val="22"/>
        </w:rPr>
        <w:t xml:space="preserve">Desarrollar habilidades socioemocionales que fortalezcan el desempeño personal, las relaciones interpersonales y la resiliencia institucional del personal de salud.</w:t>
      </w:r>
    </w:p>
    <w:p>
      <w:pPr>
        <w:pStyle w:val="ListParagraph"/>
        <w:numPr>
          <w:ilvl w:val="0"/>
          <w:numId w:val="2"/>
        </w:numPr>
        <w:spacing w:after="40" w:before="40"/>
      </w:pPr>
      <w:r>
        <w:rPr>
          <w:rFonts w:ascii="Arial" w:cs="Arial" w:eastAsia="Arial" w:hAnsi="Arial"/>
          <w:color w:val="1A1A1A"/>
          <w:sz w:val="22"/>
          <w:szCs w:val="22"/>
        </w:rPr>
        <w:t xml:space="preserve">Aplicar herramientas de liderazgo transformacional y gestión del potencial humano en entornos de atención médica complejos y emocionalmente demandantes.</w:t>
      </w:r>
    </w:p>
    <w:p>
      <w:pPr>
        <w:pStyle w:val="ListParagraph"/>
        <w:numPr>
          <w:ilvl w:val="0"/>
          <w:numId w:val="2"/>
        </w:numPr>
        <w:spacing w:after="40" w:before="40"/>
      </w:pPr>
      <w:r>
        <w:rPr>
          <w:rFonts w:ascii="Arial" w:cs="Arial" w:eastAsia="Arial" w:hAnsi="Arial"/>
          <w:color w:val="1A1A1A"/>
          <w:sz w:val="22"/>
          <w:szCs w:val="22"/>
        </w:rPr>
        <w:t xml:space="preserve">Diseñar planes de acción para replicar estrategias de DPH con el personal a cargo, considerando las particularidades contextuales de cada unidad de salud.</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IV. PERFIL DE INGRESO Y EGRESO</w:t>
      </w:r>
    </w:p>
    <w:p>
      <w:pPr>
        <w:pStyle w:val="Heading2"/>
        <w:spacing w:after="120" w:before="240"/>
      </w:pPr>
      <w:r>
        <w:rPr>
          <w:rFonts w:ascii="Arial" w:cs="Arial" w:eastAsia="Arial" w:hAnsi="Arial"/>
          <w:b/>
          <w:bCs/>
          <w:color w:val="003087"/>
          <w:sz w:val="26"/>
          <w:szCs w:val="26"/>
        </w:rPr>
        <w:t xml:space="preserve">4.1 Perfil de Ingreso</w:t>
      </w:r>
    </w:p>
    <w:p>
      <w:pPr>
        <w:spacing w:after="60" w:before="60"/>
        <w:jc w:val="both"/>
      </w:pPr>
      <w:r>
        <w:rPr>
          <w:rFonts w:ascii="Arial" w:cs="Arial" w:eastAsia="Arial" w:hAnsi="Arial"/>
          <w:color w:val="1A1A1A"/>
          <w:sz w:val="22"/>
          <w:szCs w:val="22"/>
        </w:rPr>
        <w:t xml:space="preserve">Las personas participantes deberán contar con las siguientes características al momento de ingresar al taller:</w:t>
      </w:r>
    </w:p>
    <w:p>
      <w:pPr>
        <w:pStyle w:val="ListParagraph"/>
        <w:numPr>
          <w:ilvl w:val="0"/>
          <w:numId w:val="2"/>
        </w:numPr>
        <w:spacing w:after="40" w:before="40"/>
      </w:pPr>
      <w:r>
        <w:rPr>
          <w:rFonts w:ascii="Arial" w:cs="Arial" w:eastAsia="Arial" w:hAnsi="Arial"/>
          <w:color w:val="1A1A1A"/>
          <w:sz w:val="22"/>
          <w:szCs w:val="22"/>
        </w:rPr>
        <w:t xml:space="preserve">Ser personal en activo de los Servicios de Salud de Veracruz, en calidad de responsable de centro de salud o enlace del Departamento de Desarrollo del Potencial Humano.</w:t>
      </w:r>
    </w:p>
    <w:p>
      <w:pPr>
        <w:pStyle w:val="ListParagraph"/>
        <w:numPr>
          <w:ilvl w:val="0"/>
          <w:numId w:val="2"/>
        </w:numPr>
        <w:spacing w:after="40" w:before="40"/>
      </w:pPr>
      <w:r>
        <w:rPr>
          <w:rFonts w:ascii="Arial" w:cs="Arial" w:eastAsia="Arial" w:hAnsi="Arial"/>
          <w:color w:val="1A1A1A"/>
          <w:sz w:val="22"/>
          <w:szCs w:val="22"/>
        </w:rPr>
        <w:t xml:space="preserve">Contar con nivel educativo de licenciatura o técnico superior en áreas de la salud, ciencias sociales o afines.</w:t>
      </w:r>
    </w:p>
    <w:p>
      <w:pPr>
        <w:pStyle w:val="ListParagraph"/>
        <w:numPr>
          <w:ilvl w:val="0"/>
          <w:numId w:val="2"/>
        </w:numPr>
        <w:spacing w:after="40" w:before="40"/>
      </w:pPr>
      <w:r>
        <w:rPr>
          <w:rFonts w:ascii="Arial" w:cs="Arial" w:eastAsia="Arial" w:hAnsi="Arial"/>
          <w:color w:val="1A1A1A"/>
          <w:sz w:val="22"/>
          <w:szCs w:val="22"/>
        </w:rPr>
        <w:t xml:space="preserve">Tener experiencia mínima de un año en funciones de atención, gestión o coordinación en unidades de salud del SESVER.</w:t>
      </w:r>
    </w:p>
    <w:p>
      <w:pPr>
        <w:pStyle w:val="ListParagraph"/>
        <w:numPr>
          <w:ilvl w:val="0"/>
          <w:numId w:val="2"/>
        </w:numPr>
        <w:spacing w:after="40" w:before="40"/>
      </w:pPr>
      <w:r>
        <w:rPr>
          <w:rFonts w:ascii="Arial" w:cs="Arial" w:eastAsia="Arial" w:hAnsi="Arial"/>
          <w:color w:val="1A1A1A"/>
          <w:sz w:val="22"/>
          <w:szCs w:val="22"/>
        </w:rPr>
        <w:t xml:space="preserve">Mostrar disposición para el trabajo colaborativo, la reflexión crítica y la aplicación de conocimientos en su entorno laboral.</w:t>
      </w:r>
    </w:p>
    <w:p>
      <w:pPr>
        <w:pStyle w:val="ListParagraph"/>
        <w:numPr>
          <w:ilvl w:val="0"/>
          <w:numId w:val="2"/>
        </w:numPr>
        <w:spacing w:after="40" w:before="40"/>
      </w:pPr>
      <w:r>
        <w:rPr>
          <w:rFonts w:ascii="Arial" w:cs="Arial" w:eastAsia="Arial" w:hAnsi="Arial"/>
          <w:color w:val="1A1A1A"/>
          <w:sz w:val="22"/>
          <w:szCs w:val="22"/>
        </w:rPr>
        <w:t xml:space="preserve">Haber leído el encuadre general del taller enviado previamente por el Departamento de DPH.</w:t>
      </w:r>
    </w:p>
    <w:p>
      <w:pPr>
        <w:pStyle w:val="Heading2"/>
        <w:spacing w:after="120" w:before="240"/>
      </w:pPr>
      <w:r>
        <w:rPr>
          <w:rFonts w:ascii="Arial" w:cs="Arial" w:eastAsia="Arial" w:hAnsi="Arial"/>
          <w:b/>
          <w:bCs/>
          <w:color w:val="003087"/>
          <w:sz w:val="26"/>
          <w:szCs w:val="26"/>
        </w:rPr>
        <w:t xml:space="preserve">4.2 Perfil de Egreso</w:t>
      </w:r>
    </w:p>
    <w:p>
      <w:pPr>
        <w:spacing w:after="60" w:before="60"/>
        <w:jc w:val="both"/>
      </w:pPr>
      <w:r>
        <w:rPr>
          <w:rFonts w:ascii="Arial" w:cs="Arial" w:eastAsia="Arial" w:hAnsi="Arial"/>
          <w:color w:val="1A1A1A"/>
          <w:sz w:val="22"/>
          <w:szCs w:val="22"/>
        </w:rPr>
        <w:t xml:space="preserve">Al concluir el taller, las personas participantes habrán desarrollado las siguientes competencias:</w:t>
      </w:r>
    </w:p>
    <w:p>
      <w:pPr>
        <w:pStyle w:val="ListParagraph"/>
        <w:numPr>
          <w:ilvl w:val="0"/>
          <w:numId w:val="2"/>
        </w:numPr>
        <w:spacing w:after="40" w:before="40"/>
      </w:pPr>
      <w:r>
        <w:rPr>
          <w:rFonts w:ascii="Arial" w:cs="Arial" w:eastAsia="Arial" w:hAnsi="Arial"/>
          <w:color w:val="1A1A1A"/>
          <w:sz w:val="22"/>
          <w:szCs w:val="22"/>
        </w:rPr>
        <w:t xml:space="preserve">Conocimiento consolidado: Comprende los conceptos nucleares del desarrollo del potencial humano, los derechos humanos en salud y los marcos normativos que los sustentan.</w:t>
      </w:r>
    </w:p>
    <w:p>
      <w:pPr>
        <w:pStyle w:val="ListParagraph"/>
        <w:numPr>
          <w:ilvl w:val="0"/>
          <w:numId w:val="2"/>
        </w:numPr>
        <w:spacing w:after="40" w:before="40"/>
      </w:pPr>
      <w:r>
        <w:rPr>
          <w:rFonts w:ascii="Arial" w:cs="Arial" w:eastAsia="Arial" w:hAnsi="Arial"/>
          <w:color w:val="1A1A1A"/>
          <w:sz w:val="22"/>
          <w:szCs w:val="22"/>
        </w:rPr>
        <w:t xml:space="preserve">Habilidad metodológica: Diseña e implementa acciones de capacitación y sensibilización en DPH adaptadas al contexto de su unidad de salud.</w:t>
      </w:r>
    </w:p>
    <w:p>
      <w:pPr>
        <w:pStyle w:val="ListParagraph"/>
        <w:numPr>
          <w:ilvl w:val="0"/>
          <w:numId w:val="2"/>
        </w:numPr>
        <w:spacing w:after="40" w:before="40"/>
      </w:pPr>
      <w:r>
        <w:rPr>
          <w:rFonts w:ascii="Arial" w:cs="Arial" w:eastAsia="Arial" w:hAnsi="Arial"/>
          <w:color w:val="1A1A1A"/>
          <w:sz w:val="22"/>
          <w:szCs w:val="22"/>
        </w:rPr>
        <w:t xml:space="preserve">Competencia socioemocional: Identifica, regula y comunica sus emociones de manera constructiva, y promueve estos procesos en el personal a su cargo.</w:t>
      </w:r>
    </w:p>
    <w:p>
      <w:pPr>
        <w:pStyle w:val="ListParagraph"/>
        <w:numPr>
          <w:ilvl w:val="0"/>
          <w:numId w:val="2"/>
        </w:numPr>
        <w:spacing w:after="40" w:before="40"/>
      </w:pPr>
      <w:r>
        <w:rPr>
          <w:rFonts w:ascii="Arial" w:cs="Arial" w:eastAsia="Arial" w:hAnsi="Arial"/>
          <w:color w:val="1A1A1A"/>
          <w:sz w:val="22"/>
          <w:szCs w:val="22"/>
        </w:rPr>
        <w:t xml:space="preserve">Liderazgo humanista: Ejerce un liderazgo centrado en el bienestar colectivo, la dignidad de las personas y el logro de objetivos institucionales compartidos.</w:t>
      </w:r>
    </w:p>
    <w:p>
      <w:pPr>
        <w:pStyle w:val="ListParagraph"/>
        <w:numPr>
          <w:ilvl w:val="0"/>
          <w:numId w:val="2"/>
        </w:numPr>
        <w:spacing w:after="40" w:before="40"/>
      </w:pPr>
      <w:r>
        <w:rPr>
          <w:rFonts w:ascii="Arial" w:cs="Arial" w:eastAsia="Arial" w:hAnsi="Arial"/>
          <w:color w:val="1A1A1A"/>
          <w:sz w:val="22"/>
          <w:szCs w:val="22"/>
        </w:rPr>
        <w:t xml:space="preserve">Compromiso ético-institucional: Actúa con apego a los principios de derechos humanos, inclusión y no discriminación en su gestión cotidiana.</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V. ESTRUCTURA TEMÁTICA DEL TALLER</w:t>
      </w:r>
    </w:p>
    <w:p>
      <w:pPr>
        <w:spacing w:after="60" w:before="60"/>
        <w:jc w:val="both"/>
      </w:pPr>
      <w:r>
        <w:rPr>
          <w:rFonts w:ascii="Arial" w:cs="Arial" w:eastAsia="Arial" w:hAnsi="Arial"/>
          <w:color w:val="1A1A1A"/>
          <w:sz w:val="22"/>
          <w:szCs w:val="22"/>
        </w:rPr>
        <w:t xml:space="preserve">El taller está organizado en cinco módulos de ocho horas cada uno, diseñados con secuencia lógica y progresión didáctica que permite la apropiación gradual de los contenidos. Cada módulo articula componentes conceptuales, reflexivos y prácticos, con énfasis en la transferencia al contexto laboral.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40"/>
        <w:gridCol w:w="4520"/>
      </w:tblGrid>
      <w:tr>
        <w:tc>
          <w:tcPr>
            <w:tcW w:type="dxa" w:w="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3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10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Horas</w:t>
            </w:r>
          </w:p>
        </w:tc>
        <w:tc>
          <w:tcPr>
            <w:tcW w:type="dxa" w:w="452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Ejes articuladores</w:t>
            </w:r>
          </w:p>
        </w:tc>
      </w:tr>
      <w:tr>
        <w:tc>
          <w:tcPr>
            <w:tcW w:type="dxa" w:w="6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3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Fundamentos del Desarrollo del Potencial Humano</w:t>
            </w:r>
          </w:p>
        </w:tc>
        <w:tc>
          <w:tcPr>
            <w:tcW w:type="dxa" w:w="104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hrs</w:t>
            </w:r>
          </w:p>
        </w:tc>
        <w:tc>
          <w:tcPr>
            <w:tcW w:type="dxa" w:w="452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Humanismo, psicología positiva, andragogía, bien-estar en el trabajo</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Derechos Humanos y Trato Adecuado en Salud</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hrs</w:t>
            </w:r>
          </w:p>
        </w:tc>
        <w:tc>
          <w:tcPr>
            <w:tcW w:type="dxa" w:w="4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Marco normativo internacional, CNDH, NOM-046, ODS 16</w:t>
            </w:r>
          </w:p>
        </w:tc>
      </w:tr>
      <w:tr>
        <w:tc>
          <w:tcPr>
            <w:tcW w:type="dxa" w:w="6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3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Habilidades Socioemocionales para el Personal de Salud</w:t>
            </w:r>
          </w:p>
        </w:tc>
        <w:tc>
          <w:tcPr>
            <w:tcW w:type="dxa" w:w="104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hrs</w:t>
            </w:r>
          </w:p>
        </w:tc>
        <w:tc>
          <w:tcPr>
            <w:tcW w:type="dxa" w:w="452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comunicación asertiva, autocuidado, resiliencia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Liderazgo y Gestión del Potencial Humano en Entornos de Salud</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hrs</w:t>
            </w:r>
          </w:p>
        </w:tc>
        <w:tc>
          <w:tcPr>
            <w:tcW w:type="dxa" w:w="4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Liderazgo transformacional, clima organizacional, ODS 3 y 10</w:t>
            </w:r>
          </w:p>
        </w:tc>
      </w:tr>
      <w:tr>
        <w:tc>
          <w:tcPr>
            <w:tcW w:type="dxa" w:w="6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3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Diseño y Replicación de Acciones de DPH en el Centro de Salud</w:t>
            </w:r>
          </w:p>
        </w:tc>
        <w:tc>
          <w:tcPr>
            <w:tcW w:type="dxa" w:w="104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hrs</w:t>
            </w:r>
          </w:p>
        </w:tc>
        <w:tc>
          <w:tcPr>
            <w:tcW w:type="dxa" w:w="452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Planeación educativa, EC0301, evaluación, plan de acción situado</w:t>
            </w:r>
          </w:p>
        </w:tc>
      </w:tr>
      <w:tr>
        <w:tc>
          <w:tcPr>
            <w:tcW w:type="dxa" w:w="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0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 hrs</w:t>
            </w:r>
          </w:p>
        </w:tc>
        <w:tc>
          <w:tcPr>
            <w:tcW w:type="dxa" w:w="452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
            </w:r>
          </w:p>
        </w:tc>
      </w:tr>
    </w:tbl>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VI. CARTA DESCRIPTIVA — DESARROLLO DE MÓDULOS</w:t>
      </w:r>
    </w:p>
    <w:p>
      <w:pPr>
        <w:pStyle w:val="Heading2"/>
        <w:spacing w:after="120" w:before="240"/>
      </w:pPr>
      <w:r>
        <w:rPr>
          <w:rFonts w:ascii="Arial" w:cs="Arial" w:eastAsia="Arial" w:hAnsi="Arial"/>
          <w:b/>
          <w:bCs/>
          <w:color w:val="003087"/>
          <w:sz w:val="26"/>
          <w:szCs w:val="26"/>
        </w:rPr>
        <w:t xml:space="preserve">Módulo 1: Fundamentos del Desarrollo del Potencial Humano (8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1600"/>
        <w:gridCol w:w="1600"/>
        <w:gridCol w:w="1600"/>
      </w:tblGrid>
      <w:tr>
        <w:tc>
          <w:tcPr>
            <w:gridSpan w:val="6"/>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MÓDULO 1: FUNDAMENTOS DEL DESARROLLO DEL POTENCIAL HUMANO</w:t>
            </w:r>
          </w:p>
        </w:tc>
      </w:tr>
      <w:tr>
        <w:tc>
          <w:tcPr>
            <w:gridSpan w:val="6"/>
            <w:tcBorders>
              <w:top w:val="single" w:color="AAAAAA" w:sz="1"/>
              <w:left w:val="single" w:color="AAAAAA" w:sz="1"/>
              <w:bottom w:val="single" w:color="AAAAAA" w:sz="1"/>
              <w:right w:val="single" w:color="AAAAAA" w:sz="1"/>
            </w:tcBorders>
            <w:shd w:fill="D0E4F5" w:val="clear"/>
            <w:tcMar>
              <w:top w:type="dxa" w:w="60"/>
              <w:left w:type="dxa" w:w="120"/>
              <w:bottom w:type="dxa" w:w="60"/>
              <w:right w:type="dxa" w:w="120"/>
            </w:tcMar>
          </w:tcPr>
          <w:p>
            <w:r>
              <w:rPr>
                <w:rFonts w:ascii="Arial" w:cs="Arial" w:eastAsia="Arial" w:hAnsi="Arial"/>
                <w:b/>
                <w:bCs/>
                <w:color w:val="003087"/>
                <w:sz w:val="22"/>
                <w:szCs w:val="22"/>
              </w:rPr>
              <w:t xml:space="preserve">Duración: 8 horas</w:t>
            </w:r>
          </w:p>
        </w:tc>
      </w:tr>
      <w:tr>
        <w:tc>
          <w:tcPr>
            <w:tcW w:type="dxa" w:w="1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Objetivo específico</w:t>
            </w:r>
          </w:p>
        </w:tc>
        <w:tc>
          <w:tcPr>
            <w:gridSpan w:val="5"/>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Identificar los fundamentos conceptuales y teóricos del desarrollo del potencial humano, reconociendo su aplicación en contextos de salud pública desde una perspectiva humanista, andragógica y de bienestar institucional.</w:t>
            </w:r>
          </w:p>
        </w:tc>
      </w:tr>
      <w:tr>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Contenidos temáticos</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de aprendizaje</w:t>
            </w:r>
          </w:p>
        </w:tc>
        <w:tc>
          <w:tcPr>
            <w:tcW w:type="dxa" w:w="21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Técnicas instruccionales</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de aprendizaje</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didácticos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¿Qué es el DPH? Distinción entre desarrollo humano y capital humano</w:t>
            </w:r>
          </w:p>
          <w:p>
            <w:pPr>
              <w:pStyle w:val="ListParagraph"/>
              <w:numPr>
                <w:ilvl w:val="0"/>
                <w:numId w:val="2"/>
              </w:numPr>
            </w:pPr>
            <w:r>
              <w:rPr>
                <w:rFonts w:ascii="Arial" w:cs="Arial" w:eastAsia="Arial" w:hAnsi="Arial"/>
                <w:sz w:val="18"/>
                <w:szCs w:val="18"/>
              </w:rPr>
              <w:t xml:space="preserve">Teorías de referencia: humanismo (Rogers, Maslow), psicología positiva (Seligman), andragogía (Knowles)</w:t>
            </w:r>
          </w:p>
          <w:p>
            <w:pPr>
              <w:pStyle w:val="ListParagraph"/>
              <w:numPr>
                <w:ilvl w:val="0"/>
                <w:numId w:val="2"/>
              </w:numPr>
            </w:pPr>
            <w:r>
              <w:rPr>
                <w:rFonts w:ascii="Arial" w:cs="Arial" w:eastAsia="Arial" w:hAnsi="Arial"/>
                <w:sz w:val="18"/>
                <w:szCs w:val="18"/>
              </w:rPr>
              <w:t xml:space="preserve">El DPH en el contexto de la salud pública y SESVER</w:t>
            </w:r>
          </w:p>
          <w:p>
            <w:pPr>
              <w:pStyle w:val="ListParagraph"/>
              <w:numPr>
                <w:ilvl w:val="0"/>
                <w:numId w:val="2"/>
              </w:numPr>
            </w:pPr>
            <w:r>
              <w:rPr>
                <w:rFonts w:ascii="Arial" w:cs="Arial" w:eastAsia="Arial" w:hAnsi="Arial"/>
                <w:sz w:val="18"/>
                <w:szCs w:val="18"/>
              </w:rPr>
              <w:t xml:space="preserve">Estrategia DPH de SESVER: objetivos, estructura de la Red Estatal de Enlaces</w:t>
            </w:r>
          </w:p>
          <w:p>
            <w:pPr>
              <w:pStyle w:val="ListParagraph"/>
              <w:numPr>
                <w:ilvl w:val="0"/>
                <w:numId w:val="2"/>
              </w:numPr>
            </w:pPr>
            <w:r>
              <w:rPr>
                <w:rFonts w:ascii="Arial" w:cs="Arial" w:eastAsia="Arial" w:hAnsi="Arial"/>
                <w:sz w:val="18"/>
                <w:szCs w:val="18"/>
              </w:rPr>
              <w:t xml:space="preserve">Bienestar laboral como condición del trato adecuado</w:t>
            </w:r>
          </w:p>
          <w:p>
            <w:pPr>
              <w:pStyle w:val="ListParagraph"/>
              <w:numPr>
                <w:ilvl w:val="0"/>
                <w:numId w:val="2"/>
              </w:numPr>
            </w:pPr>
            <w:r>
              <w:rPr>
                <w:rFonts w:ascii="Arial" w:cs="Arial" w:eastAsia="Arial" w:hAnsi="Arial"/>
                <w:sz w:val="18"/>
                <w:szCs w:val="18"/>
              </w:rPr>
              <w:t xml:space="preserve">ODS 3 y 8: salud, bienestar y trabajo digno como derechos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Exploración de conocimientos previos mediante técnica de la 'Telaraña'</w:t>
            </w:r>
          </w:p>
          <w:p>
            <w:pPr>
              <w:pStyle w:val="ListParagraph"/>
              <w:numPr>
                <w:ilvl w:val="0"/>
                <w:numId w:val="2"/>
              </w:numPr>
            </w:pPr>
            <w:r>
              <w:rPr>
                <w:rFonts w:ascii="Arial" w:cs="Arial" w:eastAsia="Arial" w:hAnsi="Arial"/>
                <w:sz w:val="18"/>
                <w:szCs w:val="18"/>
              </w:rPr>
              <w:t xml:space="preserve">Lectura comentada de fragmentos selectos de la estrategia DPH de SESVER</w:t>
            </w:r>
          </w:p>
          <w:p>
            <w:pPr>
              <w:pStyle w:val="ListParagraph"/>
              <w:numPr>
                <w:ilvl w:val="0"/>
                <w:numId w:val="2"/>
              </w:numPr>
            </w:pPr>
            <w:r>
              <w:rPr>
                <w:rFonts w:ascii="Arial" w:cs="Arial" w:eastAsia="Arial" w:hAnsi="Arial"/>
                <w:sz w:val="18"/>
                <w:szCs w:val="18"/>
              </w:rPr>
              <w:t xml:space="preserve">Análisis reflexivo de casos reales: ¿qué sucede cuando no se cuida al personal?</w:t>
            </w:r>
          </w:p>
          <w:p>
            <w:pPr>
              <w:pStyle w:val="ListParagraph"/>
              <w:numPr>
                <w:ilvl w:val="0"/>
                <w:numId w:val="2"/>
              </w:numPr>
            </w:pPr>
            <w:r>
              <w:rPr>
                <w:rFonts w:ascii="Arial" w:cs="Arial" w:eastAsia="Arial" w:hAnsi="Arial"/>
                <w:sz w:val="18"/>
                <w:szCs w:val="18"/>
              </w:rPr>
              <w:t xml:space="preserve">Elaboración de mapa conceptual colaborativo del DPH</w:t>
            </w:r>
          </w:p>
          <w:p>
            <w:pPr>
              <w:pStyle w:val="ListParagraph"/>
              <w:numPr>
                <w:ilvl w:val="0"/>
                <w:numId w:val="2"/>
              </w:numPr>
            </w:pPr>
            <w:r>
              <w:rPr>
                <w:rFonts w:ascii="Arial" w:cs="Arial" w:eastAsia="Arial" w:hAnsi="Arial"/>
                <w:sz w:val="18"/>
                <w:szCs w:val="18"/>
              </w:rPr>
              <w:t xml:space="preserve">Foro estructurado: ¿qué entiendo por potencial humano en mi unidad?</w:t>
            </w:r>
          </w:p>
          <w:p>
            <w:pPr>
              <w:pStyle w:val="ListParagraph"/>
              <w:numPr>
                <w:ilvl w:val="0"/>
                <w:numId w:val="2"/>
              </w:numPr>
            </w:pPr>
            <w:r>
              <w:rPr>
                <w:rFonts w:ascii="Arial" w:cs="Arial" w:eastAsia="Arial" w:hAnsi="Arial"/>
                <w:sz w:val="18"/>
                <w:szCs w:val="18"/>
              </w:rPr>
              <w:t xml:space="preserve">Síntesis integradora y construcción del glosario colectivo del módulo</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Técnica de activación: Telaraña de saberes previos</w:t>
            </w:r>
          </w:p>
          <w:p>
            <w:pPr>
              <w:pStyle w:val="ListParagraph"/>
              <w:numPr>
                <w:ilvl w:val="0"/>
                <w:numId w:val="2"/>
              </w:numPr>
            </w:pPr>
            <w:r>
              <w:rPr>
                <w:rFonts w:ascii="Arial" w:cs="Arial" w:eastAsia="Arial" w:hAnsi="Arial"/>
                <w:sz w:val="18"/>
                <w:szCs w:val="18"/>
              </w:rPr>
              <w:t xml:space="preserve">Exposición dialogada con apoyo visual (presentación institucional)</w:t>
            </w:r>
          </w:p>
          <w:p>
            <w:pPr>
              <w:pStyle w:val="ListParagraph"/>
              <w:numPr>
                <w:ilvl w:val="0"/>
                <w:numId w:val="2"/>
              </w:numPr>
            </w:pPr>
            <w:r>
              <w:rPr>
                <w:rFonts w:ascii="Arial" w:cs="Arial" w:eastAsia="Arial" w:hAnsi="Arial"/>
                <w:sz w:val="18"/>
                <w:szCs w:val="18"/>
              </w:rPr>
              <w:t xml:space="preserve">Estudio de caso en equipos de 5 personas</w:t>
            </w:r>
          </w:p>
          <w:p>
            <w:pPr>
              <w:pStyle w:val="ListParagraph"/>
              <w:numPr>
                <w:ilvl w:val="0"/>
                <w:numId w:val="2"/>
              </w:numPr>
            </w:pPr>
            <w:r>
              <w:rPr>
                <w:rFonts w:ascii="Arial" w:cs="Arial" w:eastAsia="Arial" w:hAnsi="Arial"/>
                <w:sz w:val="18"/>
                <w:szCs w:val="18"/>
              </w:rPr>
              <w:t xml:space="preserve">Aprendizaje basado en problemas (ABP) situado en salud</w:t>
            </w:r>
          </w:p>
          <w:p>
            <w:pPr>
              <w:pStyle w:val="ListParagraph"/>
              <w:numPr>
                <w:ilvl w:val="0"/>
                <w:numId w:val="2"/>
              </w:numPr>
            </w:pPr>
            <w:r>
              <w:rPr>
                <w:rFonts w:ascii="Arial" w:cs="Arial" w:eastAsia="Arial" w:hAnsi="Arial"/>
                <w:sz w:val="18"/>
                <w:szCs w:val="18"/>
              </w:rPr>
              <w:t xml:space="preserve">Mapas conceptuales colaborativos (técnica grupal)</w:t>
            </w:r>
          </w:p>
          <w:p>
            <w:pPr>
              <w:pStyle w:val="ListParagraph"/>
              <w:numPr>
                <w:ilvl w:val="0"/>
                <w:numId w:val="2"/>
              </w:numPr>
            </w:pPr>
            <w:r>
              <w:rPr>
                <w:rFonts w:ascii="Arial" w:cs="Arial" w:eastAsia="Arial" w:hAnsi="Arial"/>
                <w:sz w:val="18"/>
                <w:szCs w:val="18"/>
              </w:rPr>
              <w:t xml:space="preserve">Foro socrático estructurado (discusión crítica reflexiva)</w:t>
            </w:r>
          </w:p>
          <w:p>
            <w:pPr>
              <w:pStyle w:val="ListParagraph"/>
              <w:numPr>
                <w:ilvl w:val="0"/>
                <w:numId w:val="2"/>
              </w:numPr>
            </w:pPr>
            <w:r>
              <w:rPr>
                <w:rFonts w:ascii="Arial" w:cs="Arial" w:eastAsia="Arial" w:hAnsi="Arial"/>
                <w:sz w:val="18"/>
                <w:szCs w:val="18"/>
              </w:rPr>
              <w:t xml:space="preserve">Técnica de cierre: 3-2-1 (tres aprendizajes, dos dudas, una aplicación)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Participación activa en foro</w:t>
            </w:r>
          </w:p>
          <w:p>
            <w:pPr>
              <w:pStyle w:val="ListParagraph"/>
              <w:numPr>
                <w:ilvl w:val="0"/>
                <w:numId w:val="2"/>
              </w:numPr>
            </w:pPr>
            <w:r>
              <w:rPr>
                <w:rFonts w:ascii="Arial" w:cs="Arial" w:eastAsia="Arial" w:hAnsi="Arial"/>
                <w:sz w:val="18"/>
                <w:szCs w:val="18"/>
              </w:rPr>
              <w:t xml:space="preserve">Mapa conceptual colaborativo del DPH</w:t>
            </w:r>
          </w:p>
          <w:p>
            <w:pPr>
              <w:pStyle w:val="ListParagraph"/>
              <w:numPr>
                <w:ilvl w:val="0"/>
                <w:numId w:val="2"/>
              </w:numPr>
            </w:pPr>
            <w:r>
              <w:rPr>
                <w:rFonts w:ascii="Arial" w:cs="Arial" w:eastAsia="Arial" w:hAnsi="Arial"/>
                <w:sz w:val="18"/>
                <w:szCs w:val="18"/>
              </w:rPr>
              <w:t xml:space="preserve">Análisis escrito breve del caso (media cuartilla)</w:t>
            </w:r>
          </w:p>
          <w:p>
            <w:pPr>
              <w:pStyle w:val="ListParagraph"/>
              <w:numPr>
                <w:ilvl w:val="0"/>
                <w:numId w:val="2"/>
              </w:numPr>
            </w:pPr>
            <w:r>
              <w:rPr>
                <w:rFonts w:ascii="Arial" w:cs="Arial" w:eastAsia="Arial" w:hAnsi="Arial"/>
                <w:sz w:val="18"/>
                <w:szCs w:val="18"/>
              </w:rPr>
              <w:t xml:space="preserve">Entrada en glosario colectivo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Diagnóstica: cuestionario de saberes previos (10 ítems)</w:t>
            </w:r>
          </w:p>
          <w:p>
            <w:pPr>
              <w:pStyle w:val="ListParagraph"/>
              <w:numPr>
                <w:ilvl w:val="0"/>
                <w:numId w:val="2"/>
              </w:numPr>
            </w:pPr>
            <w:r>
              <w:rPr>
                <w:rFonts w:ascii="Arial" w:cs="Arial" w:eastAsia="Arial" w:hAnsi="Arial"/>
                <w:sz w:val="18"/>
                <w:szCs w:val="18"/>
              </w:rPr>
              <w:t xml:space="preserve">Formativa: lista de cotejo del mapa conceptual</w:t>
            </w:r>
          </w:p>
          <w:p>
            <w:pPr>
              <w:pStyle w:val="ListParagraph"/>
              <w:numPr>
                <w:ilvl w:val="0"/>
                <w:numId w:val="2"/>
              </w:numPr>
            </w:pPr>
            <w:r>
              <w:rPr>
                <w:rFonts w:ascii="Arial" w:cs="Arial" w:eastAsia="Arial" w:hAnsi="Arial"/>
                <w:sz w:val="18"/>
                <w:szCs w:val="18"/>
              </w:rPr>
              <w:t xml:space="preserve">Participación en foro (escala de valoración 1-4)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Presentación institucional SESVER-DPH</w:t>
            </w:r>
          </w:p>
          <w:p>
            <w:pPr>
              <w:pStyle w:val="ListParagraph"/>
              <w:numPr>
                <w:ilvl w:val="0"/>
                <w:numId w:val="2"/>
              </w:numPr>
            </w:pPr>
            <w:r>
              <w:rPr>
                <w:rFonts w:ascii="Arial" w:cs="Arial" w:eastAsia="Arial" w:hAnsi="Arial"/>
                <w:sz w:val="18"/>
                <w:szCs w:val="18"/>
              </w:rPr>
              <w:t xml:space="preserve">Fragmentos de Knowles, M. (2015) y Seligman, M. (2019)</w:t>
            </w:r>
          </w:p>
          <w:p>
            <w:pPr>
              <w:pStyle w:val="ListParagraph"/>
              <w:numPr>
                <w:ilvl w:val="0"/>
                <w:numId w:val="2"/>
              </w:numPr>
            </w:pPr>
            <w:r>
              <w:rPr>
                <w:rFonts w:ascii="Arial" w:cs="Arial" w:eastAsia="Arial" w:hAnsi="Arial"/>
                <w:sz w:val="18"/>
                <w:szCs w:val="18"/>
              </w:rPr>
              <w:t xml:space="preserve">Tarjetas de trabajo en equipo</w:t>
            </w:r>
          </w:p>
          <w:p>
            <w:pPr>
              <w:pStyle w:val="ListParagraph"/>
              <w:numPr>
                <w:ilvl w:val="0"/>
                <w:numId w:val="2"/>
              </w:numPr>
            </w:pPr>
            <w:r>
              <w:rPr>
                <w:rFonts w:ascii="Arial" w:cs="Arial" w:eastAsia="Arial" w:hAnsi="Arial"/>
                <w:sz w:val="18"/>
                <w:szCs w:val="18"/>
              </w:rPr>
              <w:t xml:space="preserve">Plumones, papel bond, cinta adhesiva</w:t>
            </w:r>
          </w:p>
          <w:p>
            <w:pPr>
              <w:pStyle w:val="ListParagraph"/>
              <w:numPr>
                <w:ilvl w:val="0"/>
                <w:numId w:val="2"/>
              </w:numPr>
            </w:pPr>
            <w:r>
              <w:rPr>
                <w:rFonts w:ascii="Arial" w:cs="Arial" w:eastAsia="Arial" w:hAnsi="Arial"/>
                <w:sz w:val="18"/>
                <w:szCs w:val="18"/>
              </w:rPr>
              <w:t xml:space="preserve">Proyector y pantalla</w:t>
            </w:r>
          </w:p>
        </w:tc>
      </w:tr>
    </w:tbl>
    <w:p>
      <w:pPr>
        <w:spacing w:after="80" w:before="80"/>
      </w:pPr>
      <w:r>
        <w:t xml:space="preserve"/>
      </w:r>
    </w:p>
    <w:p>
      <w:pPr>
        <w:pStyle w:val="Heading2"/>
        <w:spacing w:after="120" w:before="240"/>
      </w:pPr>
      <w:r>
        <w:rPr>
          <w:rFonts w:ascii="Arial" w:cs="Arial" w:eastAsia="Arial" w:hAnsi="Arial"/>
          <w:b/>
          <w:bCs/>
          <w:color w:val="003087"/>
          <w:sz w:val="26"/>
          <w:szCs w:val="26"/>
        </w:rPr>
        <w:t xml:space="preserve">Módulo 2: Derechos Humanos y Trato Adecuado en Salud (8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1600"/>
        <w:gridCol w:w="1600"/>
        <w:gridCol w:w="1600"/>
      </w:tblGrid>
      <w:tr>
        <w:tc>
          <w:tcPr>
            <w:gridSpan w:val="6"/>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MÓDULO 2: DERECHOS HUMANOS Y TRATO ADECUADO EN SALUD</w:t>
            </w:r>
          </w:p>
        </w:tc>
      </w:tr>
      <w:tr>
        <w:tc>
          <w:tcPr>
            <w:gridSpan w:val="6"/>
            <w:tcBorders>
              <w:top w:val="single" w:color="AAAAAA" w:sz="1"/>
              <w:left w:val="single" w:color="AAAAAA" w:sz="1"/>
              <w:bottom w:val="single" w:color="AAAAAA" w:sz="1"/>
              <w:right w:val="single" w:color="AAAAAA" w:sz="1"/>
            </w:tcBorders>
            <w:shd w:fill="D0E4F5" w:val="clear"/>
            <w:tcMar>
              <w:top w:type="dxa" w:w="60"/>
              <w:left w:type="dxa" w:w="120"/>
              <w:bottom w:type="dxa" w:w="60"/>
              <w:right w:type="dxa" w:w="120"/>
            </w:tcMar>
          </w:tcPr>
          <w:p>
            <w:r>
              <w:rPr>
                <w:rFonts w:ascii="Arial" w:cs="Arial" w:eastAsia="Arial" w:hAnsi="Arial"/>
                <w:b/>
                <w:bCs/>
                <w:color w:val="003087"/>
                <w:sz w:val="22"/>
                <w:szCs w:val="22"/>
              </w:rPr>
              <w:t xml:space="preserve">Duración: 8 horas</w:t>
            </w:r>
          </w:p>
        </w:tc>
      </w:tr>
      <w:tr>
        <w:tc>
          <w:tcPr>
            <w:tcW w:type="dxa" w:w="1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Objetivo específico</w:t>
            </w:r>
          </w:p>
        </w:tc>
        <w:tc>
          <w:tcPr>
            <w:gridSpan w:val="5"/>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Analizar el marco normativo internacional, nacional y estatal en materia de derechos humanos aplicado al ámbito de la salud, identificando indicadores del trato adecuado y estrategias para su promoción en la práctica institucional cotidiana.</w:t>
            </w:r>
          </w:p>
        </w:tc>
      </w:tr>
      <w:tr>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Contenidos temáticos</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de aprendizaje</w:t>
            </w:r>
          </w:p>
        </w:tc>
        <w:tc>
          <w:tcPr>
            <w:tcW w:type="dxa" w:w="21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Técnicas instruccionales</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de aprendizaje</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didácticos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El derecho a la protección de la salud como derecho humano fundamental</w:t>
            </w:r>
          </w:p>
          <w:p>
            <w:pPr>
              <w:pStyle w:val="ListParagraph"/>
              <w:numPr>
                <w:ilvl w:val="0"/>
                <w:numId w:val="2"/>
              </w:numPr>
            </w:pPr>
            <w:r>
              <w:rPr>
                <w:rFonts w:ascii="Arial" w:cs="Arial" w:eastAsia="Arial" w:hAnsi="Arial"/>
                <w:sz w:val="18"/>
                <w:szCs w:val="18"/>
              </w:rPr>
              <w:t xml:space="preserve">Marco normativo: Constitución Política de los EUM (Art. 4), Ley General de Salud, Pacto Internacional de Derechos Económicos, Sociales y Culturales</w:t>
            </w:r>
          </w:p>
          <w:p>
            <w:pPr>
              <w:pStyle w:val="ListParagraph"/>
              <w:numPr>
                <w:ilvl w:val="0"/>
                <w:numId w:val="2"/>
              </w:numPr>
            </w:pPr>
            <w:r>
              <w:rPr>
                <w:rFonts w:ascii="Arial" w:cs="Arial" w:eastAsia="Arial" w:hAnsi="Arial"/>
                <w:sz w:val="18"/>
                <w:szCs w:val="18"/>
              </w:rPr>
              <w:t xml:space="preserve">El rol de la CNDH: funciones, recomendaciones y mecanismos de protección</w:t>
            </w:r>
          </w:p>
          <w:p>
            <w:pPr>
              <w:pStyle w:val="ListParagraph"/>
              <w:numPr>
                <w:ilvl w:val="0"/>
                <w:numId w:val="2"/>
              </w:numPr>
            </w:pPr>
            <w:r>
              <w:rPr>
                <w:rFonts w:ascii="Arial" w:cs="Arial" w:eastAsia="Arial" w:hAnsi="Arial"/>
                <w:sz w:val="18"/>
                <w:szCs w:val="18"/>
              </w:rPr>
              <w:t xml:space="preserve">ODS 16: Paz, justicia e instituciones sólidas — su vínculo con el sistema de salud</w:t>
            </w:r>
          </w:p>
          <w:p>
            <w:pPr>
              <w:pStyle w:val="ListParagraph"/>
              <w:numPr>
                <w:ilvl w:val="0"/>
                <w:numId w:val="2"/>
              </w:numPr>
            </w:pPr>
            <w:r>
              <w:rPr>
                <w:rFonts w:ascii="Arial" w:cs="Arial" w:eastAsia="Arial" w:hAnsi="Arial"/>
                <w:sz w:val="18"/>
                <w:szCs w:val="18"/>
              </w:rPr>
              <w:t xml:space="preserve">El trato adecuado: definición, dimensiones y estándares NOM-046-SSA2-2005</w:t>
            </w:r>
          </w:p>
          <w:p>
            <w:pPr>
              <w:pStyle w:val="ListParagraph"/>
              <w:numPr>
                <w:ilvl w:val="0"/>
                <w:numId w:val="2"/>
              </w:numPr>
            </w:pPr>
            <w:r>
              <w:rPr>
                <w:rFonts w:ascii="Arial" w:cs="Arial" w:eastAsia="Arial" w:hAnsi="Arial"/>
                <w:sz w:val="18"/>
                <w:szCs w:val="18"/>
              </w:rPr>
              <w:t xml:space="preserve">Discriminación, violencia simbólica e institucional en entornos de salud</w:t>
            </w:r>
          </w:p>
          <w:p>
            <w:pPr>
              <w:pStyle w:val="ListParagraph"/>
              <w:numPr>
                <w:ilvl w:val="0"/>
                <w:numId w:val="2"/>
              </w:numPr>
            </w:pPr>
            <w:r>
              <w:rPr>
                <w:rFonts w:ascii="Arial" w:cs="Arial" w:eastAsia="Arial" w:hAnsi="Arial"/>
                <w:sz w:val="18"/>
                <w:szCs w:val="18"/>
              </w:rPr>
              <w:t xml:space="preserve">El personal de salud como sujeto de derechos: bienestar y protección laboral</w:t>
            </w:r>
          </w:p>
          <w:p>
            <w:pPr>
              <w:pStyle w:val="ListParagraph"/>
              <w:numPr>
                <w:ilvl w:val="0"/>
                <w:numId w:val="2"/>
              </w:numPr>
            </w:pPr>
            <w:r>
              <w:rPr>
                <w:rFonts w:ascii="Arial" w:cs="Arial" w:eastAsia="Arial" w:hAnsi="Arial"/>
                <w:sz w:val="18"/>
                <w:szCs w:val="18"/>
              </w:rPr>
              <w:t xml:space="preserve">Personas Promotoras de Derechos Humanos en SESVER: rol y funciones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Actividad de apertura: 'La sala de espera' — análisis de escenario</w:t>
            </w:r>
          </w:p>
          <w:p>
            <w:pPr>
              <w:pStyle w:val="ListParagraph"/>
              <w:numPr>
                <w:ilvl w:val="0"/>
                <w:numId w:val="2"/>
              </w:numPr>
            </w:pPr>
            <w:r>
              <w:rPr>
                <w:rFonts w:ascii="Arial" w:cs="Arial" w:eastAsia="Arial" w:hAnsi="Arial"/>
                <w:sz w:val="18"/>
                <w:szCs w:val="18"/>
              </w:rPr>
              <w:t xml:space="preserve">Revisión guiada del marco normativo con guía de lectura estructurada</w:t>
            </w:r>
          </w:p>
          <w:p>
            <w:pPr>
              <w:pStyle w:val="ListParagraph"/>
              <w:numPr>
                <w:ilvl w:val="0"/>
                <w:numId w:val="2"/>
              </w:numPr>
            </w:pPr>
            <w:r>
              <w:rPr>
                <w:rFonts w:ascii="Arial" w:cs="Arial" w:eastAsia="Arial" w:hAnsi="Arial"/>
                <w:sz w:val="18"/>
                <w:szCs w:val="18"/>
              </w:rPr>
              <w:t xml:space="preserve">Dramatización: simulación de atención con y sin enfoque de derechos</w:t>
            </w:r>
          </w:p>
          <w:p>
            <w:pPr>
              <w:pStyle w:val="ListParagraph"/>
              <w:numPr>
                <w:ilvl w:val="0"/>
                <w:numId w:val="2"/>
              </w:numPr>
            </w:pPr>
            <w:r>
              <w:rPr>
                <w:rFonts w:ascii="Arial" w:cs="Arial" w:eastAsia="Arial" w:hAnsi="Arial"/>
                <w:sz w:val="18"/>
                <w:szCs w:val="18"/>
              </w:rPr>
              <w:t xml:space="preserve">Análisis de recomendaciones reales de la CNDH en materia de salud</w:t>
            </w:r>
          </w:p>
          <w:p>
            <w:pPr>
              <w:pStyle w:val="ListParagraph"/>
              <w:numPr>
                <w:ilvl w:val="0"/>
                <w:numId w:val="2"/>
              </w:numPr>
            </w:pPr>
            <w:r>
              <w:rPr>
                <w:rFonts w:ascii="Arial" w:cs="Arial" w:eastAsia="Arial" w:hAnsi="Arial"/>
                <w:sz w:val="18"/>
                <w:szCs w:val="18"/>
              </w:rPr>
              <w:t xml:space="preserve">Construcción colectiva de un 'Decálogo del Trato Adecuado'</w:t>
            </w:r>
          </w:p>
          <w:p>
            <w:pPr>
              <w:pStyle w:val="ListParagraph"/>
              <w:numPr>
                <w:ilvl w:val="0"/>
                <w:numId w:val="2"/>
              </w:numPr>
            </w:pPr>
            <w:r>
              <w:rPr>
                <w:rFonts w:ascii="Arial" w:cs="Arial" w:eastAsia="Arial" w:hAnsi="Arial"/>
                <w:sz w:val="18"/>
                <w:szCs w:val="18"/>
              </w:rPr>
              <w:t xml:space="preserve">Identificación de áreas de mejora en la propia unidad de salud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Análisis de escenario (Técnica de la Situación Problemática)</w:t>
            </w:r>
          </w:p>
          <w:p>
            <w:pPr>
              <w:pStyle w:val="ListParagraph"/>
              <w:numPr>
                <w:ilvl w:val="0"/>
                <w:numId w:val="2"/>
              </w:numPr>
            </w:pPr>
            <w:r>
              <w:rPr>
                <w:rFonts w:ascii="Arial" w:cs="Arial" w:eastAsia="Arial" w:hAnsi="Arial"/>
                <w:sz w:val="18"/>
                <w:szCs w:val="18"/>
              </w:rPr>
              <w:t xml:space="preserve">Lectura guiada con guía de análisis estructurado</w:t>
            </w:r>
          </w:p>
          <w:p>
            <w:pPr>
              <w:pStyle w:val="ListParagraph"/>
              <w:numPr>
                <w:ilvl w:val="0"/>
                <w:numId w:val="2"/>
              </w:numPr>
            </w:pPr>
            <w:r>
              <w:rPr>
                <w:rFonts w:ascii="Arial" w:cs="Arial" w:eastAsia="Arial" w:hAnsi="Arial"/>
                <w:sz w:val="18"/>
                <w:szCs w:val="18"/>
              </w:rPr>
              <w:t xml:space="preserve">Role playing / dramatización (técnica grupal vivencial)</w:t>
            </w:r>
          </w:p>
          <w:p>
            <w:pPr>
              <w:pStyle w:val="ListParagraph"/>
              <w:numPr>
                <w:ilvl w:val="0"/>
                <w:numId w:val="2"/>
              </w:numPr>
            </w:pPr>
            <w:r>
              <w:rPr>
                <w:rFonts w:ascii="Arial" w:cs="Arial" w:eastAsia="Arial" w:hAnsi="Arial"/>
                <w:sz w:val="18"/>
                <w:szCs w:val="18"/>
              </w:rPr>
              <w:t xml:space="preserve">Análisis documental de recomendaciones CNDH</w:t>
            </w:r>
          </w:p>
          <w:p>
            <w:pPr>
              <w:pStyle w:val="ListParagraph"/>
              <w:numPr>
                <w:ilvl w:val="0"/>
                <w:numId w:val="2"/>
              </w:numPr>
            </w:pPr>
            <w:r>
              <w:rPr>
                <w:rFonts w:ascii="Arial" w:cs="Arial" w:eastAsia="Arial" w:hAnsi="Arial"/>
                <w:sz w:val="18"/>
                <w:szCs w:val="18"/>
              </w:rPr>
              <w:t xml:space="preserve">Técnica del Decálogo (construcción colaborativa)</w:t>
            </w:r>
          </w:p>
          <w:p>
            <w:pPr>
              <w:pStyle w:val="ListParagraph"/>
              <w:numPr>
                <w:ilvl w:val="0"/>
                <w:numId w:val="2"/>
              </w:numPr>
            </w:pPr>
            <w:r>
              <w:rPr>
                <w:rFonts w:ascii="Arial" w:cs="Arial" w:eastAsia="Arial" w:hAnsi="Arial"/>
                <w:sz w:val="18"/>
                <w:szCs w:val="18"/>
              </w:rPr>
              <w:t xml:space="preserve">Cuadro de doble entrada: Derecho – Obligación – Riesgo – Estrategia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Análisis escrito de escenario 'La sala de espera'</w:t>
            </w:r>
          </w:p>
          <w:p>
            <w:pPr>
              <w:pStyle w:val="ListParagraph"/>
              <w:numPr>
                <w:ilvl w:val="0"/>
                <w:numId w:val="2"/>
              </w:numPr>
            </w:pPr>
            <w:r>
              <w:rPr>
                <w:rFonts w:ascii="Arial" w:cs="Arial" w:eastAsia="Arial" w:hAnsi="Arial"/>
                <w:sz w:val="18"/>
                <w:szCs w:val="18"/>
              </w:rPr>
              <w:t xml:space="preserve">Cuadro de doble entrada completado</w:t>
            </w:r>
          </w:p>
          <w:p>
            <w:pPr>
              <w:pStyle w:val="ListParagraph"/>
              <w:numPr>
                <w:ilvl w:val="0"/>
                <w:numId w:val="2"/>
              </w:numPr>
            </w:pPr>
            <w:r>
              <w:rPr>
                <w:rFonts w:ascii="Arial" w:cs="Arial" w:eastAsia="Arial" w:hAnsi="Arial"/>
                <w:sz w:val="18"/>
                <w:szCs w:val="18"/>
              </w:rPr>
              <w:t xml:space="preserve">Decálogo del Trato Adecuado elaborado en equipo</w:t>
            </w:r>
          </w:p>
          <w:p>
            <w:pPr>
              <w:pStyle w:val="ListParagraph"/>
              <w:numPr>
                <w:ilvl w:val="0"/>
                <w:numId w:val="2"/>
              </w:numPr>
            </w:pPr>
            <w:r>
              <w:rPr>
                <w:rFonts w:ascii="Arial" w:cs="Arial" w:eastAsia="Arial" w:hAnsi="Arial"/>
                <w:sz w:val="18"/>
                <w:szCs w:val="18"/>
              </w:rPr>
              <w:t xml:space="preserve">Reflexión escrita: 'Una práctica que debo transformar en mi unidad'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Formativa: rúbrica de análisis del escenario</w:t>
            </w:r>
          </w:p>
          <w:p>
            <w:pPr>
              <w:pStyle w:val="ListParagraph"/>
              <w:numPr>
                <w:ilvl w:val="0"/>
                <w:numId w:val="2"/>
              </w:numPr>
            </w:pPr>
            <w:r>
              <w:rPr>
                <w:rFonts w:ascii="Arial" w:cs="Arial" w:eastAsia="Arial" w:hAnsi="Arial"/>
                <w:sz w:val="18"/>
                <w:szCs w:val="18"/>
              </w:rPr>
              <w:t xml:space="preserve">Formativa: cuadro de doble entrada (lista de cotejo)</w:t>
            </w:r>
          </w:p>
          <w:p>
            <w:pPr>
              <w:pStyle w:val="ListParagraph"/>
              <w:numPr>
                <w:ilvl w:val="0"/>
                <w:numId w:val="2"/>
              </w:numPr>
            </w:pPr>
            <w:r>
              <w:rPr>
                <w:rFonts w:ascii="Arial" w:cs="Arial" w:eastAsia="Arial" w:hAnsi="Arial"/>
                <w:sz w:val="18"/>
                <w:szCs w:val="18"/>
              </w:rPr>
              <w:t xml:space="preserve">Participación en dramatización (escala de valoración)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Materiales normativos (Ley General de Salud, NOM-046)</w:t>
            </w:r>
          </w:p>
          <w:p>
            <w:pPr>
              <w:pStyle w:val="ListParagraph"/>
              <w:numPr>
                <w:ilvl w:val="0"/>
                <w:numId w:val="2"/>
              </w:numPr>
            </w:pPr>
            <w:r>
              <w:rPr>
                <w:rFonts w:ascii="Arial" w:cs="Arial" w:eastAsia="Arial" w:hAnsi="Arial"/>
                <w:sz w:val="18"/>
                <w:szCs w:val="18"/>
              </w:rPr>
              <w:t xml:space="preserve">Extractos de recomendaciones CNDH en salud</w:t>
            </w:r>
          </w:p>
          <w:p>
            <w:pPr>
              <w:pStyle w:val="ListParagraph"/>
              <w:numPr>
                <w:ilvl w:val="0"/>
                <w:numId w:val="2"/>
              </w:numPr>
            </w:pPr>
            <w:r>
              <w:rPr>
                <w:rFonts w:ascii="Arial" w:cs="Arial" w:eastAsia="Arial" w:hAnsi="Arial"/>
                <w:sz w:val="18"/>
                <w:szCs w:val="18"/>
              </w:rPr>
              <w:t xml:space="preserve">Tarjetas de escenario para role playing</w:t>
            </w:r>
          </w:p>
          <w:p>
            <w:pPr>
              <w:pStyle w:val="ListParagraph"/>
              <w:numPr>
                <w:ilvl w:val="0"/>
                <w:numId w:val="2"/>
              </w:numPr>
            </w:pPr>
            <w:r>
              <w:rPr>
                <w:rFonts w:ascii="Arial" w:cs="Arial" w:eastAsia="Arial" w:hAnsi="Arial"/>
                <w:sz w:val="18"/>
                <w:szCs w:val="18"/>
              </w:rPr>
              <w:t xml:space="preserve">Papel bond y marcadores para el Decálogo</w:t>
            </w:r>
          </w:p>
          <w:p>
            <w:pPr>
              <w:pStyle w:val="ListParagraph"/>
              <w:numPr>
                <w:ilvl w:val="0"/>
                <w:numId w:val="2"/>
              </w:numPr>
            </w:pPr>
            <w:r>
              <w:rPr>
                <w:rFonts w:ascii="Arial" w:cs="Arial" w:eastAsia="Arial" w:hAnsi="Arial"/>
                <w:sz w:val="18"/>
                <w:szCs w:val="18"/>
              </w:rPr>
              <w:t xml:space="preserve">Presentación multimedia</w:t>
            </w:r>
          </w:p>
        </w:tc>
      </w:tr>
    </w:tbl>
    <w:p>
      <w:pPr>
        <w:spacing w:after="80" w:before="80"/>
      </w:pPr>
      <w:r>
        <w:t xml:space="preserve"/>
      </w:r>
    </w:p>
    <w:p>
      <w:pPr>
        <w:pStyle w:val="Heading2"/>
        <w:spacing w:after="120" w:before="240"/>
      </w:pPr>
      <w:r>
        <w:rPr>
          <w:rFonts w:ascii="Arial" w:cs="Arial" w:eastAsia="Arial" w:hAnsi="Arial"/>
          <w:b/>
          <w:bCs/>
          <w:color w:val="003087"/>
          <w:sz w:val="26"/>
          <w:szCs w:val="26"/>
        </w:rPr>
        <w:t xml:space="preserve">Módulo 3: Habilidades Socioemocionales para el Personal de Salud (8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1600"/>
        <w:gridCol w:w="1600"/>
        <w:gridCol w:w="1600"/>
      </w:tblGrid>
      <w:tr>
        <w:tc>
          <w:tcPr>
            <w:gridSpan w:val="6"/>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MÓDULO 3: HABILIDADES SOCIOEMOCIONALES PARA EL PERSONAL DE SALUD</w:t>
            </w:r>
          </w:p>
        </w:tc>
      </w:tr>
      <w:tr>
        <w:tc>
          <w:tcPr>
            <w:gridSpan w:val="6"/>
            <w:tcBorders>
              <w:top w:val="single" w:color="AAAAAA" w:sz="1"/>
              <w:left w:val="single" w:color="AAAAAA" w:sz="1"/>
              <w:bottom w:val="single" w:color="AAAAAA" w:sz="1"/>
              <w:right w:val="single" w:color="AAAAAA" w:sz="1"/>
            </w:tcBorders>
            <w:shd w:fill="D0E4F5" w:val="clear"/>
            <w:tcMar>
              <w:top w:type="dxa" w:w="60"/>
              <w:left w:type="dxa" w:w="120"/>
              <w:bottom w:type="dxa" w:w="60"/>
              <w:right w:type="dxa" w:w="120"/>
            </w:tcMar>
          </w:tcPr>
          <w:p>
            <w:r>
              <w:rPr>
                <w:rFonts w:ascii="Arial" w:cs="Arial" w:eastAsia="Arial" w:hAnsi="Arial"/>
                <w:b/>
                <w:bCs/>
                <w:color w:val="003087"/>
                <w:sz w:val="22"/>
                <w:szCs w:val="22"/>
              </w:rPr>
              <w:t xml:space="preserve">Duración: 8 horas</w:t>
            </w:r>
          </w:p>
        </w:tc>
      </w:tr>
      <w:tr>
        <w:tc>
          <w:tcPr>
            <w:tcW w:type="dxa" w:w="1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Objetivo específico</w:t>
            </w:r>
          </w:p>
        </w:tc>
        <w:tc>
          <w:tcPr>
            <w:gridSpan w:val="5"/>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Desarrollar habilidades socioemocionales clave — inteligencia emocional, comunicación asertiva, empatía y autocuidado — que fortalezcan el desempeño interpersonal del personal de salud y la calidad del vínculo terapéutico y organizacional.</w:t>
            </w:r>
          </w:p>
        </w:tc>
      </w:tr>
      <w:tr>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Contenidos temáticos</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de aprendizaje</w:t>
            </w:r>
          </w:p>
        </w:tc>
        <w:tc>
          <w:tcPr>
            <w:tcW w:type="dxa" w:w="21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Técnicas instruccionales</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de aprendizaje</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didácticos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Inteligencia emocional: modelo de Goleman y su aplicación en contextos de salud</w:t>
            </w:r>
          </w:p>
          <w:p>
            <w:pPr>
              <w:pStyle w:val="ListParagraph"/>
              <w:numPr>
                <w:ilvl w:val="0"/>
                <w:numId w:val="2"/>
              </w:numPr>
            </w:pPr>
            <w:r>
              <w:rPr>
                <w:rFonts w:ascii="Arial" w:cs="Arial" w:eastAsia="Arial" w:hAnsi="Arial"/>
                <w:sz w:val="18"/>
                <w:szCs w:val="18"/>
              </w:rPr>
              <w:t xml:space="preserve">Identificación y regulación emocional: estrategias prácticas</w:t>
            </w:r>
          </w:p>
          <w:p>
            <w:pPr>
              <w:pStyle w:val="ListParagraph"/>
              <w:numPr>
                <w:ilvl w:val="0"/>
                <w:numId w:val="2"/>
              </w:numPr>
            </w:pPr>
            <w:r>
              <w:rPr>
                <w:rFonts w:ascii="Arial" w:cs="Arial" w:eastAsia="Arial" w:hAnsi="Arial"/>
                <w:sz w:val="18"/>
                <w:szCs w:val="18"/>
              </w:rPr>
              <w:t xml:space="preserve">Comunicación asertiva vs. agresiva y pasiva en entornos de salud</w:t>
            </w:r>
          </w:p>
          <w:p>
            <w:pPr>
              <w:pStyle w:val="ListParagraph"/>
              <w:numPr>
                <w:ilvl w:val="0"/>
                <w:numId w:val="2"/>
              </w:numPr>
            </w:pPr>
            <w:r>
              <w:rPr>
                <w:rFonts w:ascii="Arial" w:cs="Arial" w:eastAsia="Arial" w:hAnsi="Arial"/>
                <w:sz w:val="18"/>
                <w:szCs w:val="18"/>
              </w:rPr>
              <w:t xml:space="preserve">Empatía clínica e institucional: diferencia con la simpatía</w:t>
            </w:r>
          </w:p>
          <w:p>
            <w:pPr>
              <w:pStyle w:val="ListParagraph"/>
              <w:numPr>
                <w:ilvl w:val="0"/>
                <w:numId w:val="2"/>
              </w:numPr>
            </w:pPr>
            <w:r>
              <w:rPr>
                <w:rFonts w:ascii="Arial" w:cs="Arial" w:eastAsia="Arial" w:hAnsi="Arial"/>
                <w:sz w:val="18"/>
                <w:szCs w:val="18"/>
              </w:rPr>
              <w:t xml:space="preserve">Autocuidado del personal de salud: síndrome de burnout y estrategias de prevención</w:t>
            </w:r>
          </w:p>
          <w:p>
            <w:pPr>
              <w:pStyle w:val="ListParagraph"/>
              <w:numPr>
                <w:ilvl w:val="0"/>
                <w:numId w:val="2"/>
              </w:numPr>
            </w:pPr>
            <w:r>
              <w:rPr>
                <w:rFonts w:ascii="Arial" w:cs="Arial" w:eastAsia="Arial" w:hAnsi="Arial"/>
                <w:sz w:val="18"/>
                <w:szCs w:val="18"/>
              </w:rPr>
              <w:t xml:space="preserve">Resiliencia organizacional y personal en contextos de crisis sanitaria</w:t>
            </w:r>
          </w:p>
          <w:p>
            <w:pPr>
              <w:pStyle w:val="ListParagraph"/>
              <w:numPr>
                <w:ilvl w:val="0"/>
                <w:numId w:val="2"/>
              </w:numPr>
            </w:pPr>
            <w:r>
              <w:rPr>
                <w:rFonts w:ascii="Arial" w:cs="Arial" w:eastAsia="Arial" w:hAnsi="Arial"/>
                <w:sz w:val="18"/>
                <w:szCs w:val="18"/>
              </w:rPr>
              <w:t xml:space="preserve">Escucha activa como competencia relacional fundamental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Técnica de apertura: 'El termómetro emocional' (identificación de estado emocional)</w:t>
            </w:r>
          </w:p>
          <w:p>
            <w:pPr>
              <w:pStyle w:val="ListParagraph"/>
              <w:numPr>
                <w:ilvl w:val="0"/>
                <w:numId w:val="2"/>
              </w:numPr>
            </w:pPr>
            <w:r>
              <w:rPr>
                <w:rFonts w:ascii="Arial" w:cs="Arial" w:eastAsia="Arial" w:hAnsi="Arial"/>
                <w:sz w:val="18"/>
                <w:szCs w:val="18"/>
              </w:rPr>
              <w:t xml:space="preserve">Ejercicios de identificación y nombrado de emociones con rueda de Plutchik</w:t>
            </w:r>
          </w:p>
          <w:p>
            <w:pPr>
              <w:pStyle w:val="ListParagraph"/>
              <w:numPr>
                <w:ilvl w:val="0"/>
                <w:numId w:val="2"/>
              </w:numPr>
            </w:pPr>
            <w:r>
              <w:rPr>
                <w:rFonts w:ascii="Arial" w:cs="Arial" w:eastAsia="Arial" w:hAnsi="Arial"/>
                <w:sz w:val="18"/>
                <w:szCs w:val="18"/>
              </w:rPr>
              <w:t xml:space="preserve">Práctica de comunicación asertiva por parejas con retroalimentación guiada</w:t>
            </w:r>
          </w:p>
          <w:p>
            <w:pPr>
              <w:pStyle w:val="ListParagraph"/>
              <w:numPr>
                <w:ilvl w:val="0"/>
                <w:numId w:val="2"/>
              </w:numPr>
            </w:pPr>
            <w:r>
              <w:rPr>
                <w:rFonts w:ascii="Arial" w:cs="Arial" w:eastAsia="Arial" w:hAnsi="Arial"/>
                <w:sz w:val="18"/>
                <w:szCs w:val="18"/>
              </w:rPr>
              <w:t xml:space="preserve">Estudio de caso: el burnout en el sector salud de México</w:t>
            </w:r>
          </w:p>
          <w:p>
            <w:pPr>
              <w:pStyle w:val="ListParagraph"/>
              <w:numPr>
                <w:ilvl w:val="0"/>
                <w:numId w:val="2"/>
              </w:numPr>
            </w:pPr>
            <w:r>
              <w:rPr>
                <w:rFonts w:ascii="Arial" w:cs="Arial" w:eastAsia="Arial" w:hAnsi="Arial"/>
                <w:sz w:val="18"/>
                <w:szCs w:val="18"/>
              </w:rPr>
              <w:t xml:space="preserve">Taller de autocuidado: elaboración de 'Mi plan personal de bienestar'</w:t>
            </w:r>
          </w:p>
          <w:p>
            <w:pPr>
              <w:pStyle w:val="ListParagraph"/>
              <w:numPr>
                <w:ilvl w:val="0"/>
                <w:numId w:val="2"/>
              </w:numPr>
            </w:pPr>
            <w:r>
              <w:rPr>
                <w:rFonts w:ascii="Arial" w:cs="Arial" w:eastAsia="Arial" w:hAnsi="Arial"/>
                <w:sz w:val="18"/>
                <w:szCs w:val="18"/>
              </w:rPr>
              <w:t xml:space="preserve">Práctica de escucha activa: técnica de 'El espejo'</w:t>
            </w:r>
          </w:p>
          <w:p>
            <w:pPr>
              <w:pStyle w:val="ListParagraph"/>
              <w:numPr>
                <w:ilvl w:val="0"/>
                <w:numId w:val="2"/>
              </w:numPr>
            </w:pPr>
            <w:r>
              <w:rPr>
                <w:rFonts w:ascii="Arial" w:cs="Arial" w:eastAsia="Arial" w:hAnsi="Arial"/>
                <w:sz w:val="18"/>
                <w:szCs w:val="18"/>
              </w:rPr>
              <w:t xml:space="preserve">Cierre reflexivo: carta a mi versión futura como líder de DPH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Técnica vivencial: Termómetro emocional (activación e introspeccion)</w:t>
            </w:r>
          </w:p>
          <w:p>
            <w:pPr>
              <w:pStyle w:val="ListParagraph"/>
              <w:numPr>
                <w:ilvl w:val="0"/>
                <w:numId w:val="2"/>
              </w:numPr>
            </w:pPr>
            <w:r>
              <w:rPr>
                <w:rFonts w:ascii="Arial" w:cs="Arial" w:eastAsia="Arial" w:hAnsi="Arial"/>
                <w:sz w:val="18"/>
                <w:szCs w:val="18"/>
              </w:rPr>
              <w:t xml:space="preserve">Ejercicio con rueda de las emociones de Plutchik (trabajo individual)</w:t>
            </w:r>
          </w:p>
          <w:p>
            <w:pPr>
              <w:pStyle w:val="ListParagraph"/>
              <w:numPr>
                <w:ilvl w:val="0"/>
                <w:numId w:val="2"/>
              </w:numPr>
            </w:pPr>
            <w:r>
              <w:rPr>
                <w:rFonts w:ascii="Arial" w:cs="Arial" w:eastAsia="Arial" w:hAnsi="Arial"/>
                <w:sz w:val="18"/>
                <w:szCs w:val="18"/>
              </w:rPr>
              <w:t xml:space="preserve">Role playing con retroalimentación estructurada (parejas/triadas)</w:t>
            </w:r>
          </w:p>
          <w:p>
            <w:pPr>
              <w:pStyle w:val="ListParagraph"/>
              <w:numPr>
                <w:ilvl w:val="0"/>
                <w:numId w:val="2"/>
              </w:numPr>
            </w:pPr>
            <w:r>
              <w:rPr>
                <w:rFonts w:ascii="Arial" w:cs="Arial" w:eastAsia="Arial" w:hAnsi="Arial"/>
                <w:sz w:val="18"/>
                <w:szCs w:val="18"/>
              </w:rPr>
              <w:t xml:space="preserve">Aprendizaje basado en casos (caso de burnout en salud pública)</w:t>
            </w:r>
          </w:p>
          <w:p>
            <w:pPr>
              <w:pStyle w:val="ListParagraph"/>
              <w:numPr>
                <w:ilvl w:val="0"/>
                <w:numId w:val="2"/>
              </w:numPr>
            </w:pPr>
            <w:r>
              <w:rPr>
                <w:rFonts w:ascii="Arial" w:cs="Arial" w:eastAsia="Arial" w:hAnsi="Arial"/>
                <w:sz w:val="18"/>
                <w:szCs w:val="18"/>
              </w:rPr>
              <w:t xml:space="preserve">Técnica de planeación personal: Mi plan de bienestar</w:t>
            </w:r>
          </w:p>
          <w:p>
            <w:pPr>
              <w:pStyle w:val="ListParagraph"/>
              <w:numPr>
                <w:ilvl w:val="0"/>
                <w:numId w:val="2"/>
              </w:numPr>
            </w:pPr>
            <w:r>
              <w:rPr>
                <w:rFonts w:ascii="Arial" w:cs="Arial" w:eastAsia="Arial" w:hAnsi="Arial"/>
                <w:sz w:val="18"/>
                <w:szCs w:val="18"/>
              </w:rPr>
              <w:t xml:space="preserve">Técnica experiencial: El espejo (escucha activa)</w:t>
            </w:r>
          </w:p>
          <w:p>
            <w:pPr>
              <w:pStyle w:val="ListParagraph"/>
              <w:numPr>
                <w:ilvl w:val="0"/>
                <w:numId w:val="2"/>
              </w:numPr>
            </w:pPr>
            <w:r>
              <w:rPr>
                <w:rFonts w:ascii="Arial" w:cs="Arial" w:eastAsia="Arial" w:hAnsi="Arial"/>
                <w:sz w:val="18"/>
                <w:szCs w:val="18"/>
              </w:rPr>
              <w:t xml:space="preserve">Escritura reflexiva: Carta a mi versión futura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Termómetro emocional completado (individual)</w:t>
            </w:r>
          </w:p>
          <w:p>
            <w:pPr>
              <w:pStyle w:val="ListParagraph"/>
              <w:numPr>
                <w:ilvl w:val="0"/>
                <w:numId w:val="2"/>
              </w:numPr>
            </w:pPr>
            <w:r>
              <w:rPr>
                <w:rFonts w:ascii="Arial" w:cs="Arial" w:eastAsia="Arial" w:hAnsi="Arial"/>
                <w:sz w:val="18"/>
                <w:szCs w:val="18"/>
              </w:rPr>
              <w:t xml:space="preserve">Rueda de emociones anotada</w:t>
            </w:r>
          </w:p>
          <w:p>
            <w:pPr>
              <w:pStyle w:val="ListParagraph"/>
              <w:numPr>
                <w:ilvl w:val="0"/>
                <w:numId w:val="2"/>
              </w:numPr>
            </w:pPr>
            <w:r>
              <w:rPr>
                <w:rFonts w:ascii="Arial" w:cs="Arial" w:eastAsia="Arial" w:hAnsi="Arial"/>
                <w:sz w:val="18"/>
                <w:szCs w:val="18"/>
              </w:rPr>
              <w:t xml:space="preserve">Registro de práctica asertiva (autoevaluación)</w:t>
            </w:r>
          </w:p>
          <w:p>
            <w:pPr>
              <w:pStyle w:val="ListParagraph"/>
              <w:numPr>
                <w:ilvl w:val="0"/>
                <w:numId w:val="2"/>
              </w:numPr>
            </w:pPr>
            <w:r>
              <w:rPr>
                <w:rFonts w:ascii="Arial" w:cs="Arial" w:eastAsia="Arial" w:hAnsi="Arial"/>
                <w:sz w:val="18"/>
                <w:szCs w:val="18"/>
              </w:rPr>
              <w:t xml:space="preserve">'Mi plan personal de bienestar' (producto individual)</w:t>
            </w:r>
          </w:p>
          <w:p>
            <w:pPr>
              <w:pStyle w:val="ListParagraph"/>
              <w:numPr>
                <w:ilvl w:val="0"/>
                <w:numId w:val="2"/>
              </w:numPr>
            </w:pPr>
            <w:r>
              <w:rPr>
                <w:rFonts w:ascii="Arial" w:cs="Arial" w:eastAsia="Arial" w:hAnsi="Arial"/>
                <w:sz w:val="18"/>
                <w:szCs w:val="18"/>
              </w:rPr>
              <w:t xml:space="preserve">Carta reflexiva a la versión futura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Formativa: autoevaluación de comunicación asertiva (escala de valoración)</w:t>
            </w:r>
          </w:p>
          <w:p>
            <w:pPr>
              <w:pStyle w:val="ListParagraph"/>
              <w:numPr>
                <w:ilvl w:val="0"/>
                <w:numId w:val="2"/>
              </w:numPr>
            </w:pPr>
            <w:r>
              <w:rPr>
                <w:rFonts w:ascii="Arial" w:cs="Arial" w:eastAsia="Arial" w:hAnsi="Arial"/>
                <w:sz w:val="18"/>
                <w:szCs w:val="18"/>
              </w:rPr>
              <w:t xml:space="preserve">Formativa: revisión del plan de bienestar (lista de cotejo)</w:t>
            </w:r>
          </w:p>
          <w:p>
            <w:pPr>
              <w:pStyle w:val="ListParagraph"/>
              <w:numPr>
                <w:ilvl w:val="0"/>
                <w:numId w:val="2"/>
              </w:numPr>
            </w:pPr>
            <w:r>
              <w:rPr>
                <w:rFonts w:ascii="Arial" w:cs="Arial" w:eastAsia="Arial" w:hAnsi="Arial"/>
                <w:sz w:val="18"/>
                <w:szCs w:val="18"/>
              </w:rPr>
              <w:t xml:space="preserve">Participación reflexiva en cierre (escala de valoración)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Rueda de emociones de Plutchik (impresa)</w:t>
            </w:r>
          </w:p>
          <w:p>
            <w:pPr>
              <w:pStyle w:val="ListParagraph"/>
              <w:numPr>
                <w:ilvl w:val="0"/>
                <w:numId w:val="2"/>
              </w:numPr>
            </w:pPr>
            <w:r>
              <w:rPr>
                <w:rFonts w:ascii="Arial" w:cs="Arial" w:eastAsia="Arial" w:hAnsi="Arial"/>
                <w:sz w:val="18"/>
                <w:szCs w:val="18"/>
              </w:rPr>
              <w:t xml:space="preserve">Tarjetas de escenarios de comunicación</w:t>
            </w:r>
          </w:p>
          <w:p>
            <w:pPr>
              <w:pStyle w:val="ListParagraph"/>
              <w:numPr>
                <w:ilvl w:val="0"/>
                <w:numId w:val="2"/>
              </w:numPr>
            </w:pPr>
            <w:r>
              <w:rPr>
                <w:rFonts w:ascii="Arial" w:cs="Arial" w:eastAsia="Arial" w:hAnsi="Arial"/>
                <w:sz w:val="18"/>
                <w:szCs w:val="18"/>
              </w:rPr>
              <w:t xml:space="preserve">Caso de estudio sobre burnout en salud pública en México</w:t>
            </w:r>
          </w:p>
          <w:p>
            <w:pPr>
              <w:pStyle w:val="ListParagraph"/>
              <w:numPr>
                <w:ilvl w:val="0"/>
                <w:numId w:val="2"/>
              </w:numPr>
            </w:pPr>
            <w:r>
              <w:rPr>
                <w:rFonts w:ascii="Arial" w:cs="Arial" w:eastAsia="Arial" w:hAnsi="Arial"/>
                <w:sz w:val="18"/>
                <w:szCs w:val="18"/>
              </w:rPr>
              <w:t xml:space="preserve">Formato de Plan Personal de Bienestar</w:t>
            </w:r>
          </w:p>
          <w:p>
            <w:pPr>
              <w:pStyle w:val="ListParagraph"/>
              <w:numPr>
                <w:ilvl w:val="0"/>
                <w:numId w:val="2"/>
              </w:numPr>
            </w:pPr>
            <w:r>
              <w:rPr>
                <w:rFonts w:ascii="Arial" w:cs="Arial" w:eastAsia="Arial" w:hAnsi="Arial"/>
                <w:sz w:val="18"/>
                <w:szCs w:val="18"/>
              </w:rPr>
              <w:t xml:space="preserve">Material de escritura reflexiva</w:t>
            </w:r>
          </w:p>
          <w:p>
            <w:pPr>
              <w:pStyle w:val="ListParagraph"/>
              <w:numPr>
                <w:ilvl w:val="0"/>
                <w:numId w:val="2"/>
              </w:numPr>
            </w:pPr>
            <w:r>
              <w:rPr>
                <w:rFonts w:ascii="Arial" w:cs="Arial" w:eastAsia="Arial" w:hAnsi="Arial"/>
                <w:sz w:val="18"/>
                <w:szCs w:val="18"/>
              </w:rPr>
              <w:t xml:space="preserve">Presentación multimedia</w:t>
            </w:r>
          </w:p>
        </w:tc>
      </w:tr>
    </w:tbl>
    <w:p>
      <w:pPr>
        <w:spacing w:after="80" w:before="80"/>
      </w:pPr>
      <w:r>
        <w:t xml:space="preserve"/>
      </w:r>
    </w:p>
    <w:p>
      <w:pPr>
        <w:pStyle w:val="Heading2"/>
        <w:spacing w:after="120" w:before="240"/>
      </w:pPr>
      <w:r>
        <w:rPr>
          <w:rFonts w:ascii="Arial" w:cs="Arial" w:eastAsia="Arial" w:hAnsi="Arial"/>
          <w:b/>
          <w:bCs/>
          <w:color w:val="003087"/>
          <w:sz w:val="26"/>
          <w:szCs w:val="26"/>
        </w:rPr>
        <w:t xml:space="preserve">Módulo 4: Liderazgo y Gestión del Potencial Humano en Entornos de Salud (8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1600"/>
        <w:gridCol w:w="1600"/>
        <w:gridCol w:w="1600"/>
      </w:tblGrid>
      <w:tr>
        <w:tc>
          <w:tcPr>
            <w:gridSpan w:val="6"/>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MÓDULO 4: LIDERAZGO Y GESTIÓN DEL POTENCIAL HUMANO EN ENTORNOS DE SALUD</w:t>
            </w:r>
          </w:p>
        </w:tc>
      </w:tr>
      <w:tr>
        <w:tc>
          <w:tcPr>
            <w:gridSpan w:val="6"/>
            <w:tcBorders>
              <w:top w:val="single" w:color="AAAAAA" w:sz="1"/>
              <w:left w:val="single" w:color="AAAAAA" w:sz="1"/>
              <w:bottom w:val="single" w:color="AAAAAA" w:sz="1"/>
              <w:right w:val="single" w:color="AAAAAA" w:sz="1"/>
            </w:tcBorders>
            <w:shd w:fill="D0E4F5" w:val="clear"/>
            <w:tcMar>
              <w:top w:type="dxa" w:w="60"/>
              <w:left w:type="dxa" w:w="120"/>
              <w:bottom w:type="dxa" w:w="60"/>
              <w:right w:type="dxa" w:w="120"/>
            </w:tcMar>
          </w:tcPr>
          <w:p>
            <w:r>
              <w:rPr>
                <w:rFonts w:ascii="Arial" w:cs="Arial" w:eastAsia="Arial" w:hAnsi="Arial"/>
                <w:b/>
                <w:bCs/>
                <w:color w:val="003087"/>
                <w:sz w:val="22"/>
                <w:szCs w:val="22"/>
              </w:rPr>
              <w:t xml:space="preserve">Duración: 8 horas</w:t>
            </w:r>
          </w:p>
        </w:tc>
      </w:tr>
      <w:tr>
        <w:tc>
          <w:tcPr>
            <w:tcW w:type="dxa" w:w="1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Objetivo específico</w:t>
            </w:r>
          </w:p>
        </w:tc>
        <w:tc>
          <w:tcPr>
            <w:gridSpan w:val="5"/>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Aplicar principios y herramientas del liderazgo transformacional y la gestión humanista del potencial humano para promover climas organizacionales saludables, equitativos e incluyentes en las unidades de salud del SESVER.</w:t>
            </w:r>
          </w:p>
        </w:tc>
      </w:tr>
      <w:tr>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Contenidos temáticos</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de aprendizaje</w:t>
            </w:r>
          </w:p>
        </w:tc>
        <w:tc>
          <w:tcPr>
            <w:tcW w:type="dxa" w:w="21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Técnicas instruccionales</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de aprendizaje</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didácticos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Liderazgo transformacional vs. transaccional: diferencias y aplicaciones en salud</w:t>
            </w:r>
          </w:p>
          <w:p>
            <w:pPr>
              <w:pStyle w:val="ListParagraph"/>
              <w:numPr>
                <w:ilvl w:val="0"/>
                <w:numId w:val="2"/>
              </w:numPr>
            </w:pPr>
            <w:r>
              <w:rPr>
                <w:rFonts w:ascii="Arial" w:cs="Arial" w:eastAsia="Arial" w:hAnsi="Arial"/>
                <w:sz w:val="18"/>
                <w:szCs w:val="18"/>
              </w:rPr>
              <w:t xml:space="preserve">El líder como promotor del DPH: responsabilidades y posibilidades</w:t>
            </w:r>
          </w:p>
          <w:p>
            <w:pPr>
              <w:pStyle w:val="ListParagraph"/>
              <w:numPr>
                <w:ilvl w:val="0"/>
                <w:numId w:val="2"/>
              </w:numPr>
            </w:pPr>
            <w:r>
              <w:rPr>
                <w:rFonts w:ascii="Arial" w:cs="Arial" w:eastAsia="Arial" w:hAnsi="Arial"/>
                <w:sz w:val="18"/>
                <w:szCs w:val="18"/>
              </w:rPr>
              <w:t xml:space="preserve">Clima organizacional en entornos de salud: diagnóstico y mejora</w:t>
            </w:r>
          </w:p>
          <w:p>
            <w:pPr>
              <w:pStyle w:val="ListParagraph"/>
              <w:numPr>
                <w:ilvl w:val="0"/>
                <w:numId w:val="2"/>
              </w:numPr>
            </w:pPr>
            <w:r>
              <w:rPr>
                <w:rFonts w:ascii="Arial" w:cs="Arial" w:eastAsia="Arial" w:hAnsi="Arial"/>
                <w:sz w:val="18"/>
                <w:szCs w:val="18"/>
              </w:rPr>
              <w:t xml:space="preserve">Gestión de conflictos con enfoque de derechos humanos y resolución pacífica</w:t>
            </w:r>
          </w:p>
          <w:p>
            <w:pPr>
              <w:pStyle w:val="ListParagraph"/>
              <w:numPr>
                <w:ilvl w:val="0"/>
                <w:numId w:val="2"/>
              </w:numPr>
            </w:pPr>
            <w:r>
              <w:rPr>
                <w:rFonts w:ascii="Arial" w:cs="Arial" w:eastAsia="Arial" w:hAnsi="Arial"/>
                <w:sz w:val="18"/>
                <w:szCs w:val="18"/>
              </w:rPr>
              <w:t xml:space="preserve">Equidad, diversidad e inclusión como principios de gestión institucional (ODS 10)</w:t>
            </w:r>
          </w:p>
          <w:p>
            <w:pPr>
              <w:pStyle w:val="ListParagraph"/>
              <w:numPr>
                <w:ilvl w:val="0"/>
                <w:numId w:val="2"/>
              </w:numPr>
            </w:pPr>
            <w:r>
              <w:rPr>
                <w:rFonts w:ascii="Arial" w:cs="Arial" w:eastAsia="Arial" w:hAnsi="Arial"/>
                <w:sz w:val="18"/>
                <w:szCs w:val="18"/>
              </w:rPr>
              <w:t xml:space="preserve">Indicadores de bienestar laboral: herramientas de diagnóstico y seguimiento</w:t>
            </w:r>
          </w:p>
          <w:p>
            <w:pPr>
              <w:pStyle w:val="ListParagraph"/>
              <w:numPr>
                <w:ilvl w:val="0"/>
                <w:numId w:val="2"/>
              </w:numPr>
            </w:pPr>
            <w:r>
              <w:rPr>
                <w:rFonts w:ascii="Arial" w:cs="Arial" w:eastAsia="Arial" w:hAnsi="Arial"/>
                <w:sz w:val="18"/>
                <w:szCs w:val="18"/>
              </w:rPr>
              <w:t xml:space="preserve">Redes de apoyo institucional: Red Estatal de Enlaces DPH de SESVER</w:t>
            </w:r>
          </w:p>
          <w:p>
            <w:pPr>
              <w:pStyle w:val="ListParagraph"/>
              <w:numPr>
                <w:ilvl w:val="0"/>
                <w:numId w:val="2"/>
              </w:numPr>
            </w:pPr>
            <w:r>
              <w:rPr>
                <w:rFonts w:ascii="Arial" w:cs="Arial" w:eastAsia="Arial" w:hAnsi="Arial"/>
                <w:sz w:val="18"/>
                <w:szCs w:val="18"/>
              </w:rPr>
              <w:t xml:space="preserve">Ética del cuidado en la gestión pública de la salud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Diagnóstico participativo del clima organizacional de la unidad propia</w:t>
            </w:r>
          </w:p>
          <w:p>
            <w:pPr>
              <w:pStyle w:val="ListParagraph"/>
              <w:numPr>
                <w:ilvl w:val="0"/>
                <w:numId w:val="2"/>
              </w:numPr>
            </w:pPr>
            <w:r>
              <w:rPr>
                <w:rFonts w:ascii="Arial" w:cs="Arial" w:eastAsia="Arial" w:hAnsi="Arial"/>
                <w:sz w:val="18"/>
                <w:szCs w:val="18"/>
              </w:rPr>
              <w:t xml:space="preserve">Panel de experiencias: ¿qué hace a un buen líder en salud?</w:t>
            </w:r>
          </w:p>
          <w:p>
            <w:pPr>
              <w:pStyle w:val="ListParagraph"/>
              <w:numPr>
                <w:ilvl w:val="0"/>
                <w:numId w:val="2"/>
              </w:numPr>
            </w:pPr>
            <w:r>
              <w:rPr>
                <w:rFonts w:ascii="Arial" w:cs="Arial" w:eastAsia="Arial" w:hAnsi="Arial"/>
                <w:sz w:val="18"/>
                <w:szCs w:val="18"/>
              </w:rPr>
              <w:t xml:space="preserve">Análisis de caso: conflicto en una unidad de salud con enfoque de derechos</w:t>
            </w:r>
          </w:p>
          <w:p>
            <w:pPr>
              <w:pStyle w:val="ListParagraph"/>
              <w:numPr>
                <w:ilvl w:val="0"/>
                <w:numId w:val="2"/>
              </w:numPr>
            </w:pPr>
            <w:r>
              <w:rPr>
                <w:rFonts w:ascii="Arial" w:cs="Arial" w:eastAsia="Arial" w:hAnsi="Arial"/>
                <w:sz w:val="18"/>
                <w:szCs w:val="18"/>
              </w:rPr>
              <w:t xml:space="preserve">Taller de construcción de indicadores de bienestar laboral</w:t>
            </w:r>
          </w:p>
          <w:p>
            <w:pPr>
              <w:pStyle w:val="ListParagraph"/>
              <w:numPr>
                <w:ilvl w:val="0"/>
                <w:numId w:val="2"/>
              </w:numPr>
            </w:pPr>
            <w:r>
              <w:rPr>
                <w:rFonts w:ascii="Arial" w:cs="Arial" w:eastAsia="Arial" w:hAnsi="Arial"/>
                <w:sz w:val="18"/>
                <w:szCs w:val="18"/>
              </w:rPr>
              <w:t xml:space="preserve">Simulación de reunión de equipo con liderazgo transformacional</w:t>
            </w:r>
          </w:p>
          <w:p>
            <w:pPr>
              <w:pStyle w:val="ListParagraph"/>
              <w:numPr>
                <w:ilvl w:val="0"/>
                <w:numId w:val="2"/>
              </w:numPr>
            </w:pPr>
            <w:r>
              <w:rPr>
                <w:rFonts w:ascii="Arial" w:cs="Arial" w:eastAsia="Arial" w:hAnsi="Arial"/>
                <w:sz w:val="18"/>
                <w:szCs w:val="18"/>
              </w:rPr>
              <w:t xml:space="preserve">Mapeo de la Red de Enlaces DPH: recursos y posibilidades de colaboración</w:t>
            </w:r>
          </w:p>
          <w:p>
            <w:pPr>
              <w:pStyle w:val="ListParagraph"/>
              <w:numPr>
                <w:ilvl w:val="0"/>
                <w:numId w:val="2"/>
              </w:numPr>
            </w:pPr>
            <w:r>
              <w:rPr>
                <w:rFonts w:ascii="Arial" w:cs="Arial" w:eastAsia="Arial" w:hAnsi="Arial"/>
                <w:sz w:val="18"/>
                <w:szCs w:val="18"/>
              </w:rPr>
              <w:t xml:space="preserve">Plenaria de reflexión ética: ¿lidero desde el cuidado o desde el control?</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Instrumento de diagnóstico participativo (cuestionario de clima)</w:t>
            </w:r>
          </w:p>
          <w:p>
            <w:pPr>
              <w:pStyle w:val="ListParagraph"/>
              <w:numPr>
                <w:ilvl w:val="0"/>
                <w:numId w:val="2"/>
              </w:numPr>
            </w:pPr>
            <w:r>
              <w:rPr>
                <w:rFonts w:ascii="Arial" w:cs="Arial" w:eastAsia="Arial" w:hAnsi="Arial"/>
                <w:sz w:val="18"/>
                <w:szCs w:val="18"/>
              </w:rPr>
              <w:t xml:space="preserve">Panel de experiencias (técnica grupal de narración reflexiva)</w:t>
            </w:r>
          </w:p>
          <w:p>
            <w:pPr>
              <w:pStyle w:val="ListParagraph"/>
              <w:numPr>
                <w:ilvl w:val="0"/>
                <w:numId w:val="2"/>
              </w:numPr>
            </w:pPr>
            <w:r>
              <w:rPr>
                <w:rFonts w:ascii="Arial" w:cs="Arial" w:eastAsia="Arial" w:hAnsi="Arial"/>
                <w:sz w:val="18"/>
                <w:szCs w:val="18"/>
              </w:rPr>
              <w:t xml:space="preserve">Análisis de caso con enfoque de derechos (ABP)</w:t>
            </w:r>
          </w:p>
          <w:p>
            <w:pPr>
              <w:pStyle w:val="ListParagraph"/>
              <w:numPr>
                <w:ilvl w:val="0"/>
                <w:numId w:val="2"/>
              </w:numPr>
            </w:pPr>
            <w:r>
              <w:rPr>
                <w:rFonts w:ascii="Arial" w:cs="Arial" w:eastAsia="Arial" w:hAnsi="Arial"/>
                <w:sz w:val="18"/>
                <w:szCs w:val="18"/>
              </w:rPr>
              <w:t xml:space="preserve">Taller de construcción de indicadores (técnica de trabajo en equipos)</w:t>
            </w:r>
          </w:p>
          <w:p>
            <w:pPr>
              <w:pStyle w:val="ListParagraph"/>
              <w:numPr>
                <w:ilvl w:val="0"/>
                <w:numId w:val="2"/>
              </w:numPr>
            </w:pPr>
            <w:r>
              <w:rPr>
                <w:rFonts w:ascii="Arial" w:cs="Arial" w:eastAsia="Arial" w:hAnsi="Arial"/>
                <w:sz w:val="18"/>
                <w:szCs w:val="18"/>
              </w:rPr>
              <w:t xml:space="preserve">Simulación / role playing de reunión de equipo</w:t>
            </w:r>
          </w:p>
          <w:p>
            <w:pPr>
              <w:pStyle w:val="ListParagraph"/>
              <w:numPr>
                <w:ilvl w:val="0"/>
                <w:numId w:val="2"/>
              </w:numPr>
            </w:pPr>
            <w:r>
              <w:rPr>
                <w:rFonts w:ascii="Arial" w:cs="Arial" w:eastAsia="Arial" w:hAnsi="Arial"/>
                <w:sz w:val="18"/>
                <w:szCs w:val="18"/>
              </w:rPr>
              <w:t xml:space="preserve">Mapeo colectivo (técnica cartográfica institucional)</w:t>
            </w:r>
          </w:p>
          <w:p>
            <w:pPr>
              <w:pStyle w:val="ListParagraph"/>
              <w:numPr>
                <w:ilvl w:val="0"/>
                <w:numId w:val="2"/>
              </w:numPr>
            </w:pPr>
            <w:r>
              <w:rPr>
                <w:rFonts w:ascii="Arial" w:cs="Arial" w:eastAsia="Arial" w:hAnsi="Arial"/>
                <w:sz w:val="18"/>
                <w:szCs w:val="18"/>
              </w:rPr>
              <w:t xml:space="preserve">Plenaria reflexiva con preguntas detonadoras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Diagnóstico de clima organizacional de la unidad propia</w:t>
            </w:r>
          </w:p>
          <w:p>
            <w:pPr>
              <w:pStyle w:val="ListParagraph"/>
              <w:numPr>
                <w:ilvl w:val="0"/>
                <w:numId w:val="2"/>
              </w:numPr>
            </w:pPr>
            <w:r>
              <w:rPr>
                <w:rFonts w:ascii="Arial" w:cs="Arial" w:eastAsia="Arial" w:hAnsi="Arial"/>
                <w:sz w:val="18"/>
                <w:szCs w:val="18"/>
              </w:rPr>
              <w:t xml:space="preserve">Indicadores de bienestar elaborados en equipo</w:t>
            </w:r>
          </w:p>
          <w:p>
            <w:pPr>
              <w:pStyle w:val="ListParagraph"/>
              <w:numPr>
                <w:ilvl w:val="0"/>
                <w:numId w:val="2"/>
              </w:numPr>
            </w:pPr>
            <w:r>
              <w:rPr>
                <w:rFonts w:ascii="Arial" w:cs="Arial" w:eastAsia="Arial" w:hAnsi="Arial"/>
                <w:sz w:val="18"/>
                <w:szCs w:val="18"/>
              </w:rPr>
              <w:t xml:space="preserve">Análisis escrito del caso de conflicto</w:t>
            </w:r>
          </w:p>
          <w:p>
            <w:pPr>
              <w:pStyle w:val="ListParagraph"/>
              <w:numPr>
                <w:ilvl w:val="0"/>
                <w:numId w:val="2"/>
              </w:numPr>
            </w:pPr>
            <w:r>
              <w:rPr>
                <w:rFonts w:ascii="Arial" w:cs="Arial" w:eastAsia="Arial" w:hAnsi="Arial"/>
                <w:sz w:val="18"/>
                <w:szCs w:val="18"/>
              </w:rPr>
              <w:t xml:space="preserve">Reflexión ética escrita individual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Formativa: rúbrica del análisis de caso con enfoque de derechos</w:t>
            </w:r>
          </w:p>
          <w:p>
            <w:pPr>
              <w:pStyle w:val="ListParagraph"/>
              <w:numPr>
                <w:ilvl w:val="0"/>
                <w:numId w:val="2"/>
              </w:numPr>
            </w:pPr>
            <w:r>
              <w:rPr>
                <w:rFonts w:ascii="Arial" w:cs="Arial" w:eastAsia="Arial" w:hAnsi="Arial"/>
                <w:sz w:val="18"/>
                <w:szCs w:val="18"/>
              </w:rPr>
              <w:t xml:space="preserve">Formativa: lista de cotejo del diagnóstico de clima organizacional</w:t>
            </w:r>
          </w:p>
          <w:p>
            <w:pPr>
              <w:pStyle w:val="ListParagraph"/>
              <w:numPr>
                <w:ilvl w:val="0"/>
                <w:numId w:val="2"/>
              </w:numPr>
            </w:pPr>
            <w:r>
              <w:rPr>
                <w:rFonts w:ascii="Arial" w:cs="Arial" w:eastAsia="Arial" w:hAnsi="Arial"/>
                <w:sz w:val="18"/>
                <w:szCs w:val="18"/>
              </w:rPr>
              <w:t xml:space="preserve">Autoevaluación del estilo de liderazgo (cuestionario)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Cuestionario de clima organizacional (impreso)</w:t>
            </w:r>
          </w:p>
          <w:p>
            <w:pPr>
              <w:pStyle w:val="ListParagraph"/>
              <w:numPr>
                <w:ilvl w:val="0"/>
                <w:numId w:val="2"/>
              </w:numPr>
            </w:pPr>
            <w:r>
              <w:rPr>
                <w:rFonts w:ascii="Arial" w:cs="Arial" w:eastAsia="Arial" w:hAnsi="Arial"/>
                <w:sz w:val="18"/>
                <w:szCs w:val="18"/>
              </w:rPr>
              <w:t xml:space="preserve">Caso de conflicto en unidad de salud (impreso)</w:t>
            </w:r>
          </w:p>
          <w:p>
            <w:pPr>
              <w:pStyle w:val="ListParagraph"/>
              <w:numPr>
                <w:ilvl w:val="0"/>
                <w:numId w:val="2"/>
              </w:numPr>
            </w:pPr>
            <w:r>
              <w:rPr>
                <w:rFonts w:ascii="Arial" w:cs="Arial" w:eastAsia="Arial" w:hAnsi="Arial"/>
                <w:sz w:val="18"/>
                <w:szCs w:val="18"/>
              </w:rPr>
              <w:t xml:space="preserve">Formatos de indicadores de bienestar</w:t>
            </w:r>
          </w:p>
          <w:p>
            <w:pPr>
              <w:pStyle w:val="ListParagraph"/>
              <w:numPr>
                <w:ilvl w:val="0"/>
                <w:numId w:val="2"/>
              </w:numPr>
            </w:pPr>
            <w:r>
              <w:rPr>
                <w:rFonts w:ascii="Arial" w:cs="Arial" w:eastAsia="Arial" w:hAnsi="Arial"/>
                <w:sz w:val="18"/>
                <w:szCs w:val="18"/>
              </w:rPr>
              <w:t xml:space="preserve">Tarjetas de rol para simulación de reunión</w:t>
            </w:r>
          </w:p>
          <w:p>
            <w:pPr>
              <w:pStyle w:val="ListParagraph"/>
              <w:numPr>
                <w:ilvl w:val="0"/>
                <w:numId w:val="2"/>
              </w:numPr>
            </w:pPr>
            <w:r>
              <w:rPr>
                <w:rFonts w:ascii="Arial" w:cs="Arial" w:eastAsia="Arial" w:hAnsi="Arial"/>
                <w:sz w:val="18"/>
                <w:szCs w:val="18"/>
              </w:rPr>
              <w:t xml:space="preserve">Papelógrafo y marcadores</w:t>
            </w:r>
          </w:p>
          <w:p>
            <w:pPr>
              <w:pStyle w:val="ListParagraph"/>
              <w:numPr>
                <w:ilvl w:val="0"/>
                <w:numId w:val="2"/>
              </w:numPr>
            </w:pPr>
            <w:r>
              <w:rPr>
                <w:rFonts w:ascii="Arial" w:cs="Arial" w:eastAsia="Arial" w:hAnsi="Arial"/>
                <w:sz w:val="18"/>
                <w:szCs w:val="18"/>
              </w:rPr>
              <w:t xml:space="preserve">Presentación multimedia</w:t>
            </w:r>
          </w:p>
        </w:tc>
      </w:tr>
    </w:tbl>
    <w:p>
      <w:pPr>
        <w:spacing w:after="80" w:before="80"/>
      </w:pPr>
      <w:r>
        <w:t xml:space="preserve"/>
      </w:r>
    </w:p>
    <w:p>
      <w:pPr>
        <w:pStyle w:val="Heading2"/>
        <w:spacing w:after="120" w:before="240"/>
      </w:pPr>
      <w:r>
        <w:rPr>
          <w:rFonts w:ascii="Arial" w:cs="Arial" w:eastAsia="Arial" w:hAnsi="Arial"/>
          <w:b/>
          <w:bCs/>
          <w:color w:val="003087"/>
          <w:sz w:val="26"/>
          <w:szCs w:val="26"/>
        </w:rPr>
        <w:t xml:space="preserve">Módulo 5: Diseño y Replicación de Acciones de DPH en el Centro de Salud (8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1600"/>
        <w:gridCol w:w="1600"/>
        <w:gridCol w:w="1600"/>
      </w:tblGrid>
      <w:tr>
        <w:tc>
          <w:tcPr>
            <w:gridSpan w:val="6"/>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MÓDULO 5: DISEÑO Y REPLICACIÓN DE ACCIONES DE DPH</w:t>
            </w:r>
          </w:p>
        </w:tc>
      </w:tr>
      <w:tr>
        <w:tc>
          <w:tcPr>
            <w:gridSpan w:val="6"/>
            <w:tcBorders>
              <w:top w:val="single" w:color="AAAAAA" w:sz="1"/>
              <w:left w:val="single" w:color="AAAAAA" w:sz="1"/>
              <w:bottom w:val="single" w:color="AAAAAA" w:sz="1"/>
              <w:right w:val="single" w:color="AAAAAA" w:sz="1"/>
            </w:tcBorders>
            <w:shd w:fill="D0E4F5" w:val="clear"/>
            <w:tcMar>
              <w:top w:type="dxa" w:w="60"/>
              <w:left w:type="dxa" w:w="120"/>
              <w:bottom w:type="dxa" w:w="60"/>
              <w:right w:type="dxa" w:w="120"/>
            </w:tcMar>
          </w:tcPr>
          <w:p>
            <w:r>
              <w:rPr>
                <w:rFonts w:ascii="Arial" w:cs="Arial" w:eastAsia="Arial" w:hAnsi="Arial"/>
                <w:b/>
                <w:bCs/>
                <w:color w:val="003087"/>
                <w:sz w:val="22"/>
                <w:szCs w:val="22"/>
              </w:rPr>
              <w:t xml:space="preserve">Duración: 8 horas</w:t>
            </w:r>
          </w:p>
        </w:tc>
      </w:tr>
      <w:tr>
        <w:tc>
          <w:tcPr>
            <w:tcW w:type="dxa" w:w="12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Objetivo específico</w:t>
            </w:r>
          </w:p>
        </w:tc>
        <w:tc>
          <w:tcPr>
            <w:gridSpan w:val="5"/>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Diseñar un plan de acción situado para replicar al menos una estrategia de desarrollo del potencial humano en su centro de salud o unidad de adscripción, con base en la metodología EC0301, considerando el contexto, las necesidades del personal y los recursos disponibles.</w:t>
            </w:r>
          </w:p>
        </w:tc>
      </w:tr>
      <w:tr>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Contenidos temáticos</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de aprendizaje</w:t>
            </w:r>
          </w:p>
        </w:tc>
        <w:tc>
          <w:tcPr>
            <w:tcW w:type="dxa" w:w="21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Técnicas instruccionales</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de aprendizaje</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w:t>
            </w:r>
          </w:p>
        </w:tc>
        <w:tc>
          <w:tcPr>
            <w:tcW w:type="dxa" w:w="16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didácticos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De aprendiz a multiplicador/a: el rol del enlace DPH como agente de cambio</w:t>
            </w:r>
          </w:p>
          <w:p>
            <w:pPr>
              <w:pStyle w:val="ListParagraph"/>
              <w:numPr>
                <w:ilvl w:val="0"/>
                <w:numId w:val="2"/>
              </w:numPr>
            </w:pPr>
            <w:r>
              <w:rPr>
                <w:rFonts w:ascii="Arial" w:cs="Arial" w:eastAsia="Arial" w:hAnsi="Arial"/>
                <w:sz w:val="18"/>
                <w:szCs w:val="18"/>
              </w:rPr>
              <w:t xml:space="preserve">Diagnóstico de necesidades de capacitación (DNC): metodología y aplicación</w:t>
            </w:r>
          </w:p>
          <w:p>
            <w:pPr>
              <w:pStyle w:val="ListParagraph"/>
              <w:numPr>
                <w:ilvl w:val="0"/>
                <w:numId w:val="2"/>
              </w:numPr>
            </w:pPr>
            <w:r>
              <w:rPr>
                <w:rFonts w:ascii="Arial" w:cs="Arial" w:eastAsia="Arial" w:hAnsi="Arial"/>
                <w:sz w:val="18"/>
                <w:szCs w:val="18"/>
              </w:rPr>
              <w:t xml:space="preserve">Principios del diseño instruccional según EC0301: carta descriptiva, técnicas, evaluación</w:t>
            </w:r>
          </w:p>
          <w:p>
            <w:pPr>
              <w:pStyle w:val="ListParagraph"/>
              <w:numPr>
                <w:ilvl w:val="0"/>
                <w:numId w:val="2"/>
              </w:numPr>
            </w:pPr>
            <w:r>
              <w:rPr>
                <w:rFonts w:ascii="Arial" w:cs="Arial" w:eastAsia="Arial" w:hAnsi="Arial"/>
                <w:sz w:val="18"/>
                <w:szCs w:val="18"/>
              </w:rPr>
              <w:t xml:space="preserve">La carta descriptiva como herramienta de planeación educativa</w:t>
            </w:r>
          </w:p>
          <w:p>
            <w:pPr>
              <w:pStyle w:val="ListParagraph"/>
              <w:numPr>
                <w:ilvl w:val="0"/>
                <w:numId w:val="2"/>
              </w:numPr>
            </w:pPr>
            <w:r>
              <w:rPr>
                <w:rFonts w:ascii="Arial" w:cs="Arial" w:eastAsia="Arial" w:hAnsi="Arial"/>
                <w:sz w:val="18"/>
                <w:szCs w:val="18"/>
              </w:rPr>
              <w:t xml:space="preserve">Elaboración de materiales didácticos accesibles e inclusivos</w:t>
            </w:r>
          </w:p>
          <w:p>
            <w:pPr>
              <w:pStyle w:val="ListParagraph"/>
              <w:numPr>
                <w:ilvl w:val="0"/>
                <w:numId w:val="2"/>
              </w:numPr>
            </w:pPr>
            <w:r>
              <w:rPr>
                <w:rFonts w:ascii="Arial" w:cs="Arial" w:eastAsia="Arial" w:hAnsi="Arial"/>
                <w:sz w:val="18"/>
                <w:szCs w:val="18"/>
              </w:rPr>
              <w:t xml:space="preserve">Diseño de instrumentos de evaluación y satisfacción</w:t>
            </w:r>
          </w:p>
          <w:p>
            <w:pPr>
              <w:pStyle w:val="ListParagraph"/>
              <w:numPr>
                <w:ilvl w:val="0"/>
                <w:numId w:val="2"/>
              </w:numPr>
            </w:pPr>
            <w:r>
              <w:rPr>
                <w:rFonts w:ascii="Arial" w:cs="Arial" w:eastAsia="Arial" w:hAnsi="Arial"/>
                <w:sz w:val="18"/>
                <w:szCs w:val="18"/>
              </w:rPr>
              <w:t xml:space="preserve">Construcción del Plan de Acción DPH: de la intención a la intervención</w:t>
            </w:r>
          </w:p>
          <w:p>
            <w:pPr>
              <w:pStyle w:val="ListParagraph"/>
              <w:numPr>
                <w:ilvl w:val="0"/>
                <w:numId w:val="2"/>
              </w:numPr>
            </w:pPr>
            <w:r>
              <w:rPr>
                <w:rFonts w:ascii="Arial" w:cs="Arial" w:eastAsia="Arial" w:hAnsi="Arial"/>
                <w:sz w:val="18"/>
                <w:szCs w:val="18"/>
              </w:rPr>
              <w:t xml:space="preserve">Presentación y retroalimentación grupal de planes de acción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Reflexión inicial: ¿Qué aprendí en este taller que debo compartir?</w:t>
            </w:r>
          </w:p>
          <w:p>
            <w:pPr>
              <w:pStyle w:val="ListParagraph"/>
              <w:numPr>
                <w:ilvl w:val="0"/>
                <w:numId w:val="2"/>
              </w:numPr>
            </w:pPr>
            <w:r>
              <w:rPr>
                <w:rFonts w:ascii="Arial" w:cs="Arial" w:eastAsia="Arial" w:hAnsi="Arial"/>
                <w:sz w:val="18"/>
                <w:szCs w:val="18"/>
              </w:rPr>
              <w:t xml:space="preserve">Taller de diagnóstico de necesidades de capacitación (aplicado a la unidad propia)</w:t>
            </w:r>
          </w:p>
          <w:p>
            <w:pPr>
              <w:pStyle w:val="ListParagraph"/>
              <w:numPr>
                <w:ilvl w:val="0"/>
                <w:numId w:val="2"/>
              </w:numPr>
            </w:pPr>
            <w:r>
              <w:rPr>
                <w:rFonts w:ascii="Arial" w:cs="Arial" w:eastAsia="Arial" w:hAnsi="Arial"/>
                <w:sz w:val="18"/>
                <w:szCs w:val="18"/>
              </w:rPr>
              <w:t xml:space="preserve">Diseño en equipo de una micro-carta descriptiva de una acción DPH</w:t>
            </w:r>
          </w:p>
          <w:p>
            <w:pPr>
              <w:pStyle w:val="ListParagraph"/>
              <w:numPr>
                <w:ilvl w:val="0"/>
                <w:numId w:val="2"/>
              </w:numPr>
            </w:pPr>
            <w:r>
              <w:rPr>
                <w:rFonts w:ascii="Arial" w:cs="Arial" w:eastAsia="Arial" w:hAnsi="Arial"/>
                <w:sz w:val="18"/>
                <w:szCs w:val="18"/>
              </w:rPr>
              <w:t xml:space="preserve">Elaboración de al menos un instrumento de evaluación y uno de satisfacción</w:t>
            </w:r>
          </w:p>
          <w:p>
            <w:pPr>
              <w:pStyle w:val="ListParagraph"/>
              <w:numPr>
                <w:ilvl w:val="0"/>
                <w:numId w:val="2"/>
              </w:numPr>
            </w:pPr>
            <w:r>
              <w:rPr>
                <w:rFonts w:ascii="Arial" w:cs="Arial" w:eastAsia="Arial" w:hAnsi="Arial"/>
                <w:sz w:val="18"/>
                <w:szCs w:val="18"/>
              </w:rPr>
              <w:t xml:space="preserve">Construcción del Plan de Acción DPH individual (FORMATO SESVER)</w:t>
            </w:r>
          </w:p>
          <w:p>
            <w:pPr>
              <w:pStyle w:val="ListParagraph"/>
              <w:numPr>
                <w:ilvl w:val="0"/>
                <w:numId w:val="2"/>
              </w:numPr>
            </w:pPr>
            <w:r>
              <w:rPr>
                <w:rFonts w:ascii="Arial" w:cs="Arial" w:eastAsia="Arial" w:hAnsi="Arial"/>
                <w:sz w:val="18"/>
                <w:szCs w:val="18"/>
              </w:rPr>
              <w:t xml:space="preserve">Presentación oral de los planes de acción (3-5 min por persona)</w:t>
            </w:r>
          </w:p>
          <w:p>
            <w:pPr>
              <w:pStyle w:val="ListParagraph"/>
              <w:numPr>
                <w:ilvl w:val="0"/>
                <w:numId w:val="2"/>
              </w:numPr>
            </w:pPr>
            <w:r>
              <w:rPr>
                <w:rFonts w:ascii="Arial" w:cs="Arial" w:eastAsia="Arial" w:hAnsi="Arial"/>
                <w:sz w:val="18"/>
                <w:szCs w:val="18"/>
              </w:rPr>
              <w:t xml:space="preserve">Retroalimentación entre pares (formato estructurado)</w:t>
            </w:r>
          </w:p>
          <w:p>
            <w:pPr>
              <w:pStyle w:val="ListParagraph"/>
              <w:numPr>
                <w:ilvl w:val="0"/>
                <w:numId w:val="2"/>
              </w:numPr>
            </w:pPr>
            <w:r>
              <w:rPr>
                <w:rFonts w:ascii="Arial" w:cs="Arial" w:eastAsia="Arial" w:hAnsi="Arial"/>
                <w:sz w:val="18"/>
                <w:szCs w:val="18"/>
              </w:rPr>
              <w:t xml:space="preserve">Clausura, compromisos y ceremonia de reconocimiento</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Reflexión estructurada individual (escritura libre guiada)</w:t>
            </w:r>
          </w:p>
          <w:p>
            <w:pPr>
              <w:pStyle w:val="ListParagraph"/>
              <w:numPr>
                <w:ilvl w:val="0"/>
                <w:numId w:val="2"/>
              </w:numPr>
            </w:pPr>
            <w:r>
              <w:rPr>
                <w:rFonts w:ascii="Arial" w:cs="Arial" w:eastAsia="Arial" w:hAnsi="Arial"/>
                <w:sz w:val="18"/>
                <w:szCs w:val="18"/>
              </w:rPr>
              <w:t xml:space="preserve">Taller aplicado de DNC (técnica de árbol de problemas/necesidades)</w:t>
            </w:r>
          </w:p>
          <w:p>
            <w:pPr>
              <w:pStyle w:val="ListParagraph"/>
              <w:numPr>
                <w:ilvl w:val="0"/>
                <w:numId w:val="2"/>
              </w:numPr>
            </w:pPr>
            <w:r>
              <w:rPr>
                <w:rFonts w:ascii="Arial" w:cs="Arial" w:eastAsia="Arial" w:hAnsi="Arial"/>
                <w:sz w:val="18"/>
                <w:szCs w:val="18"/>
              </w:rPr>
              <w:t xml:space="preserve">Diseño instruccional colaborativo (trabajo en triadas)</w:t>
            </w:r>
          </w:p>
          <w:p>
            <w:pPr>
              <w:pStyle w:val="ListParagraph"/>
              <w:numPr>
                <w:ilvl w:val="0"/>
                <w:numId w:val="2"/>
              </w:numPr>
            </w:pPr>
            <w:r>
              <w:rPr>
                <w:rFonts w:ascii="Arial" w:cs="Arial" w:eastAsia="Arial" w:hAnsi="Arial"/>
                <w:sz w:val="18"/>
                <w:szCs w:val="18"/>
              </w:rPr>
              <w:t xml:space="preserve">Construcción de instrumentos de evaluación (plantilla EC0301)</w:t>
            </w:r>
          </w:p>
          <w:p>
            <w:pPr>
              <w:pStyle w:val="ListParagraph"/>
              <w:numPr>
                <w:ilvl w:val="0"/>
                <w:numId w:val="2"/>
              </w:numPr>
            </w:pPr>
            <w:r>
              <w:rPr>
                <w:rFonts w:ascii="Arial" w:cs="Arial" w:eastAsia="Arial" w:hAnsi="Arial"/>
                <w:sz w:val="18"/>
                <w:szCs w:val="18"/>
              </w:rPr>
              <w:t xml:space="preserve">Plan de Acción individual (formato institucional SESVER)</w:t>
            </w:r>
          </w:p>
          <w:p>
            <w:pPr>
              <w:pStyle w:val="ListParagraph"/>
              <w:numPr>
                <w:ilvl w:val="0"/>
                <w:numId w:val="2"/>
              </w:numPr>
            </w:pPr>
            <w:r>
              <w:rPr>
                <w:rFonts w:ascii="Arial" w:cs="Arial" w:eastAsia="Arial" w:hAnsi="Arial"/>
                <w:sz w:val="18"/>
                <w:szCs w:val="18"/>
              </w:rPr>
              <w:t xml:space="preserve">Exposición oral breve (técnica del semáforo para retroalimentación)</w:t>
            </w:r>
          </w:p>
          <w:p>
            <w:pPr>
              <w:pStyle w:val="ListParagraph"/>
              <w:numPr>
                <w:ilvl w:val="0"/>
                <w:numId w:val="2"/>
              </w:numPr>
            </w:pPr>
            <w:r>
              <w:rPr>
                <w:rFonts w:ascii="Arial" w:cs="Arial" w:eastAsia="Arial" w:hAnsi="Arial"/>
                <w:sz w:val="18"/>
                <w:szCs w:val="18"/>
              </w:rPr>
              <w:t xml:space="preserve">Ceremonia de reconocimiento (sello simbólico de compromisos)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Micro-carta descriptiva elaborada en triada</w:t>
            </w:r>
          </w:p>
          <w:p>
            <w:pPr>
              <w:pStyle w:val="ListParagraph"/>
              <w:numPr>
                <w:ilvl w:val="0"/>
                <w:numId w:val="2"/>
              </w:numPr>
            </w:pPr>
            <w:r>
              <w:rPr>
                <w:rFonts w:ascii="Arial" w:cs="Arial" w:eastAsia="Arial" w:hAnsi="Arial"/>
                <w:sz w:val="18"/>
                <w:szCs w:val="18"/>
              </w:rPr>
              <w:t xml:space="preserve">Instrumento de evaluación y de satisfacción diseñado</w:t>
            </w:r>
          </w:p>
          <w:p>
            <w:pPr>
              <w:pStyle w:val="ListParagraph"/>
              <w:numPr>
                <w:ilvl w:val="0"/>
                <w:numId w:val="2"/>
              </w:numPr>
            </w:pPr>
            <w:r>
              <w:rPr>
                <w:rFonts w:ascii="Arial" w:cs="Arial" w:eastAsia="Arial" w:hAnsi="Arial"/>
                <w:sz w:val="18"/>
                <w:szCs w:val="18"/>
              </w:rPr>
              <w:t xml:space="preserve">Plan de Acción DPH individual (PRODUCTO INTEGRADOR)</w:t>
            </w:r>
          </w:p>
          <w:p>
            <w:pPr>
              <w:pStyle w:val="ListParagraph"/>
              <w:numPr>
                <w:ilvl w:val="0"/>
                <w:numId w:val="2"/>
              </w:numPr>
            </w:pPr>
            <w:r>
              <w:rPr>
                <w:rFonts w:ascii="Arial" w:cs="Arial" w:eastAsia="Arial" w:hAnsi="Arial"/>
                <w:sz w:val="18"/>
                <w:szCs w:val="18"/>
              </w:rPr>
              <w:t xml:space="preserve">Reflexión escrita de cierre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Sumativa: rúbrica del Plan de Acción DPH (producto integrador)</w:t>
            </w:r>
          </w:p>
          <w:p>
            <w:pPr>
              <w:pStyle w:val="ListParagraph"/>
              <w:numPr>
                <w:ilvl w:val="0"/>
                <w:numId w:val="2"/>
              </w:numPr>
            </w:pPr>
            <w:r>
              <w:rPr>
                <w:rFonts w:ascii="Arial" w:cs="Arial" w:eastAsia="Arial" w:hAnsi="Arial"/>
                <w:sz w:val="18"/>
                <w:szCs w:val="18"/>
              </w:rPr>
              <w:t xml:space="preserve">Sumativa: lista de cotejo de la micro-carta descriptiva</w:t>
            </w:r>
          </w:p>
          <w:p>
            <w:pPr>
              <w:pStyle w:val="ListParagraph"/>
              <w:numPr>
                <w:ilvl w:val="0"/>
                <w:numId w:val="2"/>
              </w:numPr>
            </w:pPr>
            <w:r>
              <w:rPr>
                <w:rFonts w:ascii="Arial" w:cs="Arial" w:eastAsia="Arial" w:hAnsi="Arial"/>
                <w:sz w:val="18"/>
                <w:szCs w:val="18"/>
              </w:rPr>
              <w:t xml:space="preserve">Sumativa: lista de cotejo del instrumento de evaluación</w:t>
            </w:r>
          </w:p>
          <w:p>
            <w:pPr>
              <w:pStyle w:val="ListParagraph"/>
              <w:numPr>
                <w:ilvl w:val="0"/>
                <w:numId w:val="2"/>
              </w:numPr>
            </w:pPr>
            <w:r>
              <w:rPr>
                <w:rFonts w:ascii="Arial" w:cs="Arial" w:eastAsia="Arial" w:hAnsi="Arial"/>
                <w:sz w:val="18"/>
                <w:szCs w:val="18"/>
              </w:rPr>
              <w:t xml:space="preserve">Satisfacción: cuestionario de satisfacción del taller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pStyle w:val="ListParagraph"/>
              <w:numPr>
                <w:ilvl w:val="0"/>
                <w:numId w:val="2"/>
              </w:numPr>
            </w:pPr>
            <w:r>
              <w:rPr>
                <w:rFonts w:ascii="Arial" w:cs="Arial" w:eastAsia="Arial" w:hAnsi="Arial"/>
                <w:sz w:val="18"/>
                <w:szCs w:val="18"/>
              </w:rPr>
              <w:t xml:space="preserve">Formato institucional del Plan de Acción DPH (SESVER)</w:t>
            </w:r>
          </w:p>
          <w:p>
            <w:pPr>
              <w:pStyle w:val="ListParagraph"/>
              <w:numPr>
                <w:ilvl w:val="0"/>
                <w:numId w:val="2"/>
              </w:numPr>
            </w:pPr>
            <w:r>
              <w:rPr>
                <w:rFonts w:ascii="Arial" w:cs="Arial" w:eastAsia="Arial" w:hAnsi="Arial"/>
                <w:sz w:val="18"/>
                <w:szCs w:val="18"/>
              </w:rPr>
              <w:t xml:space="preserve">Plantilla de carta descriptiva EC0301</w:t>
            </w:r>
          </w:p>
          <w:p>
            <w:pPr>
              <w:pStyle w:val="ListParagraph"/>
              <w:numPr>
                <w:ilvl w:val="0"/>
                <w:numId w:val="2"/>
              </w:numPr>
            </w:pPr>
            <w:r>
              <w:rPr>
                <w:rFonts w:ascii="Arial" w:cs="Arial" w:eastAsia="Arial" w:hAnsi="Arial"/>
                <w:sz w:val="18"/>
                <w:szCs w:val="18"/>
              </w:rPr>
              <w:t xml:space="preserve">Plantilla de instrumento de evaluación</w:t>
            </w:r>
          </w:p>
          <w:p>
            <w:pPr>
              <w:pStyle w:val="ListParagraph"/>
              <w:numPr>
                <w:ilvl w:val="0"/>
                <w:numId w:val="2"/>
              </w:numPr>
            </w:pPr>
            <w:r>
              <w:rPr>
                <w:rFonts w:ascii="Arial" w:cs="Arial" w:eastAsia="Arial" w:hAnsi="Arial"/>
                <w:sz w:val="18"/>
                <w:szCs w:val="18"/>
              </w:rPr>
              <w:t xml:space="preserve">Material para ceremonia de reconocimiento (diplomas simbólicos, sello de compromiso)</w:t>
            </w:r>
          </w:p>
          <w:p>
            <w:pPr>
              <w:pStyle w:val="ListParagraph"/>
              <w:numPr>
                <w:ilvl w:val="0"/>
                <w:numId w:val="2"/>
              </w:numPr>
            </w:pPr>
            <w:r>
              <w:rPr>
                <w:rFonts w:ascii="Arial" w:cs="Arial" w:eastAsia="Arial" w:hAnsi="Arial"/>
                <w:sz w:val="18"/>
                <w:szCs w:val="18"/>
              </w:rPr>
              <w:t xml:space="preserve">Presentación multimedia de cierre</w:t>
            </w:r>
          </w:p>
          <w:p>
            <w:pPr>
              <w:pStyle w:val="ListParagraph"/>
              <w:numPr>
                <w:ilvl w:val="0"/>
                <w:numId w:val="2"/>
              </w:numPr>
            </w:pPr>
            <w:r>
              <w:rPr>
                <w:rFonts w:ascii="Arial" w:cs="Arial" w:eastAsia="Arial" w:hAnsi="Arial"/>
                <w:sz w:val="18"/>
                <w:szCs w:val="18"/>
              </w:rPr>
              <w:t xml:space="preserve">Papelógrafo, marcadores, tarjetas de colores</w:t>
            </w:r>
          </w:p>
        </w:tc>
      </w:tr>
    </w:tbl>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VII. ESTRATEGIAS METODOLÓGICAS GENERALES</w:t>
      </w:r>
    </w:p>
    <w:p>
      <w:pPr>
        <w:spacing w:after="60" w:before="60"/>
        <w:jc w:val="both"/>
      </w:pPr>
      <w:r>
        <w:rPr>
          <w:rFonts w:ascii="Arial" w:cs="Arial" w:eastAsia="Arial" w:hAnsi="Arial"/>
          <w:color w:val="1A1A1A"/>
          <w:sz w:val="22"/>
          <w:szCs w:val="22"/>
        </w:rPr>
        <w:t xml:space="preserve">El diseño metodológico del taller se sustenta en una arquitectura pedagógica-andragógica que integra cuatro principios irrenunciables: la participación activa de las personas adultas en la construcción del conocimiento (Knowles et al., 2015), el respeto por la experiencia profesional como recurso de aprendizaje, el enfoque humanista centrado en la persona (Rogers, 1969; actualizado por Kirschenbaum, 2021), y la transferencia significativa al contexto laboral real.</w:t>
      </w:r>
    </w:p>
    <w:p>
      <w:pPr>
        <w:pStyle w:val="Heading2"/>
        <w:spacing w:after="120" w:before="240"/>
      </w:pPr>
      <w:r>
        <w:rPr>
          <w:rFonts w:ascii="Arial" w:cs="Arial" w:eastAsia="Arial" w:hAnsi="Arial"/>
          <w:b/>
          <w:bCs/>
          <w:color w:val="003087"/>
          <w:sz w:val="26"/>
          <w:szCs w:val="26"/>
        </w:rPr>
        <w:t xml:space="preserve">7.1 Ciclo de Aprendizaje Experiencial (Kolb, 1984 / actualizado)</w:t>
      </w:r>
    </w:p>
    <w:p>
      <w:pPr>
        <w:spacing w:after="60" w:before="60"/>
        <w:jc w:val="both"/>
      </w:pPr>
      <w:r>
        <w:rPr>
          <w:rFonts w:ascii="Arial" w:cs="Arial" w:eastAsia="Arial" w:hAnsi="Arial"/>
          <w:color w:val="1A1A1A"/>
          <w:sz w:val="22"/>
          <w:szCs w:val="22"/>
        </w:rPr>
        <w:t xml:space="preserve">Cada módulo sigue la secuencia: Experiencia concreta → Observación reflexiva → Conceptualización abstracta → Experimentación activa, garantizando que los contenidos se anclen en vivencias previas de las personas participantes antes de ser formalizados teóricamente.</w:t>
      </w:r>
    </w:p>
    <w:p>
      <w:pPr>
        <w:pStyle w:val="Heading2"/>
        <w:spacing w:after="120" w:before="240"/>
      </w:pPr>
      <w:r>
        <w:rPr>
          <w:rFonts w:ascii="Arial" w:cs="Arial" w:eastAsia="Arial" w:hAnsi="Arial"/>
          <w:b/>
          <w:bCs/>
          <w:color w:val="003087"/>
          <w:sz w:val="26"/>
          <w:szCs w:val="26"/>
        </w:rPr>
        <w:t xml:space="preserve">7.2 Técnicas Instruccionales Principales</w:t>
      </w:r>
    </w:p>
    <w:p>
      <w:pPr>
        <w:pStyle w:val="ListParagraph"/>
        <w:numPr>
          <w:ilvl w:val="0"/>
          <w:numId w:val="2"/>
        </w:numPr>
        <w:spacing w:after="40" w:before="40"/>
      </w:pPr>
      <w:r>
        <w:rPr>
          <w:rFonts w:ascii="Arial" w:cs="Arial" w:eastAsia="Arial" w:hAnsi="Arial"/>
          <w:color w:val="1A1A1A"/>
          <w:sz w:val="22"/>
          <w:szCs w:val="22"/>
        </w:rPr>
        <w:t xml:space="preserve">Exposición dialogada con apoyo multimedia (no transmisivista)</w:t>
      </w:r>
    </w:p>
    <w:p>
      <w:pPr>
        <w:pStyle w:val="ListParagraph"/>
        <w:numPr>
          <w:ilvl w:val="0"/>
          <w:numId w:val="2"/>
        </w:numPr>
        <w:spacing w:after="40" w:before="40"/>
      </w:pPr>
      <w:r>
        <w:rPr>
          <w:rFonts w:ascii="Arial" w:cs="Arial" w:eastAsia="Arial" w:hAnsi="Arial"/>
          <w:color w:val="1A1A1A"/>
          <w:sz w:val="22"/>
          <w:szCs w:val="22"/>
        </w:rPr>
        <w:t xml:space="preserve">Aprendizaje basado en problemas y casos reales del sistema de salud de Veracruz</w:t>
      </w:r>
    </w:p>
    <w:p>
      <w:pPr>
        <w:pStyle w:val="ListParagraph"/>
        <w:numPr>
          <w:ilvl w:val="0"/>
          <w:numId w:val="2"/>
        </w:numPr>
        <w:spacing w:after="40" w:before="40"/>
      </w:pPr>
      <w:r>
        <w:rPr>
          <w:rFonts w:ascii="Arial" w:cs="Arial" w:eastAsia="Arial" w:hAnsi="Arial"/>
          <w:color w:val="1A1A1A"/>
          <w:sz w:val="22"/>
          <w:szCs w:val="22"/>
        </w:rPr>
        <w:t xml:space="preserve">Role playing y dramatizaciones situadas en contextos de atención médica</w:t>
      </w:r>
    </w:p>
    <w:p>
      <w:pPr>
        <w:pStyle w:val="ListParagraph"/>
        <w:numPr>
          <w:ilvl w:val="0"/>
          <w:numId w:val="2"/>
        </w:numPr>
        <w:spacing w:after="40" w:before="40"/>
      </w:pPr>
      <w:r>
        <w:rPr>
          <w:rFonts w:ascii="Arial" w:cs="Arial" w:eastAsia="Arial" w:hAnsi="Arial"/>
          <w:color w:val="1A1A1A"/>
          <w:sz w:val="22"/>
          <w:szCs w:val="22"/>
        </w:rPr>
        <w:t xml:space="preserve">Trabajo colaborativo en equipos de 5-6 personas con roles rotativos</w:t>
      </w:r>
    </w:p>
    <w:p>
      <w:pPr>
        <w:pStyle w:val="ListParagraph"/>
        <w:numPr>
          <w:ilvl w:val="0"/>
          <w:numId w:val="2"/>
        </w:numPr>
        <w:spacing w:after="40" w:before="40"/>
      </w:pPr>
      <w:r>
        <w:rPr>
          <w:rFonts w:ascii="Arial" w:cs="Arial" w:eastAsia="Arial" w:hAnsi="Arial"/>
          <w:color w:val="1A1A1A"/>
          <w:sz w:val="22"/>
          <w:szCs w:val="22"/>
        </w:rPr>
        <w:t xml:space="preserve">Técnicas de escritura reflexiva (carta, diario, reflexión 3-2-1)</w:t>
      </w:r>
    </w:p>
    <w:p>
      <w:pPr>
        <w:pStyle w:val="ListParagraph"/>
        <w:numPr>
          <w:ilvl w:val="0"/>
          <w:numId w:val="2"/>
        </w:numPr>
        <w:spacing w:after="40" w:before="40"/>
      </w:pPr>
      <w:r>
        <w:rPr>
          <w:rFonts w:ascii="Arial" w:cs="Arial" w:eastAsia="Arial" w:hAnsi="Arial"/>
          <w:color w:val="1A1A1A"/>
          <w:sz w:val="22"/>
          <w:szCs w:val="22"/>
        </w:rPr>
        <w:t xml:space="preserve">Foros socráticos y debates estructurados</w:t>
      </w:r>
    </w:p>
    <w:p>
      <w:pPr>
        <w:pStyle w:val="ListParagraph"/>
        <w:numPr>
          <w:ilvl w:val="0"/>
          <w:numId w:val="2"/>
        </w:numPr>
        <w:spacing w:after="40" w:before="40"/>
      </w:pPr>
      <w:r>
        <w:rPr>
          <w:rFonts w:ascii="Arial" w:cs="Arial" w:eastAsia="Arial" w:hAnsi="Arial"/>
          <w:color w:val="1A1A1A"/>
          <w:sz w:val="22"/>
          <w:szCs w:val="22"/>
        </w:rPr>
        <w:t xml:space="preserve">Construcción colectiva de productos de aprendizaje (decálogos, mapas, planes)</w:t>
      </w:r>
    </w:p>
    <w:p>
      <w:pPr>
        <w:pStyle w:val="Heading2"/>
        <w:spacing w:after="120" w:before="240"/>
      </w:pPr>
      <w:r>
        <w:rPr>
          <w:rFonts w:ascii="Arial" w:cs="Arial" w:eastAsia="Arial" w:hAnsi="Arial"/>
          <w:b/>
          <w:bCs/>
          <w:color w:val="003087"/>
          <w:sz w:val="26"/>
          <w:szCs w:val="26"/>
        </w:rPr>
        <w:t xml:space="preserve">7.3 Principios de Inclusión y Accesibilidad</w:t>
      </w:r>
    </w:p>
    <w:p>
      <w:pPr>
        <w:pStyle w:val="ListParagraph"/>
        <w:numPr>
          <w:ilvl w:val="0"/>
          <w:numId w:val="2"/>
        </w:numPr>
        <w:spacing w:after="40" w:before="40"/>
      </w:pPr>
      <w:r>
        <w:rPr>
          <w:rFonts w:ascii="Arial" w:cs="Arial" w:eastAsia="Arial" w:hAnsi="Arial"/>
          <w:color w:val="1A1A1A"/>
          <w:sz w:val="22"/>
          <w:szCs w:val="22"/>
        </w:rPr>
        <w:t xml:space="preserve">Lenguaje incluyente y no discriminatorio en todos los materiales y la facilitación</w:t>
      </w:r>
    </w:p>
    <w:p>
      <w:pPr>
        <w:pStyle w:val="ListParagraph"/>
        <w:numPr>
          <w:ilvl w:val="0"/>
          <w:numId w:val="2"/>
        </w:numPr>
        <w:spacing w:after="40" w:before="40"/>
      </w:pPr>
      <w:r>
        <w:rPr>
          <w:rFonts w:ascii="Arial" w:cs="Arial" w:eastAsia="Arial" w:hAnsi="Arial"/>
          <w:color w:val="1A1A1A"/>
          <w:sz w:val="22"/>
          <w:szCs w:val="22"/>
        </w:rPr>
        <w:t xml:space="preserve">Actividades adaptables a personas con distintos estilos de aprendizaje</w:t>
      </w:r>
    </w:p>
    <w:p>
      <w:pPr>
        <w:pStyle w:val="ListParagraph"/>
        <w:numPr>
          <w:ilvl w:val="0"/>
          <w:numId w:val="2"/>
        </w:numPr>
        <w:spacing w:after="40" w:before="40"/>
      </w:pPr>
      <w:r>
        <w:rPr>
          <w:rFonts w:ascii="Arial" w:cs="Arial" w:eastAsia="Arial" w:hAnsi="Arial"/>
          <w:color w:val="1A1A1A"/>
          <w:sz w:val="22"/>
          <w:szCs w:val="22"/>
        </w:rPr>
        <w:t xml:space="preserve">Respeto a la diversidad cultural, étnica, de género y funcional del personal de salud veracruzano</w:t>
      </w:r>
    </w:p>
    <w:p>
      <w:pPr>
        <w:pStyle w:val="ListParagraph"/>
        <w:numPr>
          <w:ilvl w:val="0"/>
          <w:numId w:val="2"/>
        </w:numPr>
        <w:spacing w:after="40" w:before="40"/>
      </w:pPr>
      <w:r>
        <w:rPr>
          <w:rFonts w:ascii="Arial" w:cs="Arial" w:eastAsia="Arial" w:hAnsi="Arial"/>
          <w:color w:val="1A1A1A"/>
          <w:sz w:val="22"/>
          <w:szCs w:val="22"/>
        </w:rPr>
        <w:t xml:space="preserve">Ambientes de aprendizaje seguros, libres de juicio y orientados al diálogo</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VIII. INSTRUMENTOS DE EVALUACIÓN</w:t>
      </w:r>
    </w:p>
    <w:p>
      <w:pPr>
        <w:spacing w:after="60" w:before="60"/>
        <w:jc w:val="both"/>
      </w:pPr>
      <w:r>
        <w:rPr>
          <w:rFonts w:ascii="Arial" w:cs="Arial" w:eastAsia="Arial" w:hAnsi="Arial"/>
          <w:color w:val="1A1A1A"/>
          <w:sz w:val="22"/>
          <w:szCs w:val="22"/>
        </w:rPr>
        <w:t xml:space="preserve">Conforme al Estándar EC0301, el taller integra tres momentos evaluativos (diagnóstico, formativo y sumativo) y un instrumento específico para la evaluación de la satisfacción del proceso formativo. La evaluación privilegia el desempeño observable, la reflexión crítica y la transferencia contextualizada, en lugar de la memorización de contenidos.</w:t>
      </w:r>
    </w:p>
    <w:p>
      <w:pPr>
        <w:pStyle w:val="Heading2"/>
        <w:spacing w:after="120" w:before="240"/>
      </w:pPr>
      <w:r>
        <w:rPr>
          <w:rFonts w:ascii="Arial" w:cs="Arial" w:eastAsia="Arial" w:hAnsi="Arial"/>
          <w:b/>
          <w:bCs/>
          <w:color w:val="003087"/>
          <w:sz w:val="26"/>
          <w:szCs w:val="26"/>
        </w:rPr>
        <w:t xml:space="preserve">8.1 Evaluación Diagnóstica</w:t>
      </w:r>
    </w:p>
    <w:p>
      <w:pPr>
        <w:spacing w:after="60" w:before="60"/>
        <w:jc w:val="both"/>
      </w:pPr>
      <w:r>
        <w:rPr>
          <w:rFonts w:ascii="Arial" w:cs="Arial" w:eastAsia="Arial" w:hAnsi="Arial"/>
          <w:color w:val="1A1A1A"/>
          <w:sz w:val="22"/>
          <w:szCs w:val="22"/>
        </w:rPr>
        <w:t xml:space="preserve">Instrumento: Cuestionario de conocimientos, actitudes y experiencias previas (CAPE-DPH)</w:t>
      </w:r>
    </w:p>
    <w:p>
      <w:pPr>
        <w:spacing w:after="60" w:before="60"/>
        <w:jc w:val="both"/>
      </w:pPr>
      <w:r>
        <w:rPr>
          <w:rFonts w:ascii="Arial" w:cs="Arial" w:eastAsia="Arial" w:hAnsi="Arial"/>
          <w:color w:val="1A1A1A"/>
          <w:sz w:val="22"/>
          <w:szCs w:val="22"/>
        </w:rPr>
        <w:t xml:space="preserve">Momento de aplicación: Al inicio del Módulo 1</w:t>
      </w:r>
    </w:p>
    <w:p>
      <w:pPr>
        <w:spacing w:after="60" w:before="60"/>
        <w:jc w:val="both"/>
      </w:pPr>
      <w:r>
        <w:rPr>
          <w:rFonts w:ascii="Arial" w:cs="Arial" w:eastAsia="Arial" w:hAnsi="Arial"/>
          <w:color w:val="1A1A1A"/>
          <w:sz w:val="22"/>
          <w:szCs w:val="22"/>
        </w:rPr>
        <w:t xml:space="preserve">Propósito: Identificar el punto de partida real de las personas participantes para ajustar la dosificación y la profundidad de los contenidos.</w:t>
      </w:r>
    </w:p>
    <w:p>
      <w:pPr>
        <w:spacing w:after="60" w:before="60"/>
        <w:jc w:val="both"/>
      </w:pPr>
      <w:r>
        <w:rPr>
          <w:rFonts w:ascii="Arial" w:cs="Arial" w:eastAsia="Arial" w:hAnsi="Arial"/>
          <w:color w:val="1A1A1A"/>
          <w:sz w:val="22"/>
          <w:szCs w:val="22"/>
        </w:rPr>
        <w:t xml:space="preserve">Formato: 20 ítems de opción múltiple y respuesta abierta breve, organizados en cuatro dimensiones: conceptos de DPH, derechos humanos en salud, habilidades socioemocionales autopercibidas, y experiencias previas de capacitación.</w:t>
      </w:r>
    </w:p>
    <w:p>
      <w:pPr>
        <w:spacing w:after="60" w:before="60"/>
        <w:jc w:val="both"/>
      </w:pPr>
      <w:r>
        <w:rPr>
          <w:rFonts w:ascii="Arial" w:cs="Arial" w:eastAsia="Arial" w:hAnsi="Arial"/>
          <w:color w:val="1A1A1A"/>
          <w:sz w:val="22"/>
          <w:szCs w:val="22"/>
        </w:rPr>
        <w:t xml:space="preserve">Nota ética: Los resultados son confidenciales y no tienen consecuencia punitiva para las personas participantes.</w:t>
      </w:r>
    </w:p>
    <w:p>
      <w:pPr>
        <w:pStyle w:val="Heading2"/>
        <w:spacing w:after="120" w:before="240"/>
      </w:pPr>
      <w:r>
        <w:rPr>
          <w:rFonts w:ascii="Arial" w:cs="Arial" w:eastAsia="Arial" w:hAnsi="Arial"/>
          <w:b/>
          <w:bCs/>
          <w:color w:val="003087"/>
          <w:sz w:val="26"/>
          <w:szCs w:val="26"/>
        </w:rPr>
        <w:t xml:space="preserve">8.2 Rúbrica de Evaluación: Plan de Acción DPH (Producto Integrador)</w:t>
      </w:r>
    </w:p>
    <w:p>
      <w:pPr>
        <w:spacing w:after="60" w:before="60"/>
        <w:jc w:val="both"/>
      </w:pPr>
      <w:r>
        <w:rPr>
          <w:rFonts w:ascii="Arial" w:cs="Arial" w:eastAsia="Arial" w:hAnsi="Arial"/>
          <w:color w:val="1A1A1A"/>
          <w:sz w:val="22"/>
          <w:szCs w:val="22"/>
        </w:rPr>
        <w:t xml:space="preserve">Instrumento aplicado al producto integrador del Módulo 5: Plan de Acción DPH para el centro de salud o unidad de adscripción.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gridSpan w:val="5"/>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RÚBRICA — PLAN DE ACCIÓN DPH (Producto Integrador — Módulo 5)</w:t>
            </w:r>
          </w:p>
        </w:tc>
      </w:tr>
      <w:tr>
        <w:tc>
          <w:tcPr>
            <w:tcW w:type="dxa" w:w="24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evaluación</w:t>
            </w:r>
          </w:p>
        </w:tc>
        <w:tc>
          <w:tcPr>
            <w:tcW w:type="dxa" w:w="17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Excelente (4)</w:t>
            </w:r>
          </w:p>
        </w:tc>
        <w:tc>
          <w:tcPr>
            <w:tcW w:type="dxa" w:w="17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Bueno (3)</w:t>
            </w:r>
          </w:p>
        </w:tc>
        <w:tc>
          <w:tcPr>
            <w:tcW w:type="dxa" w:w="17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Suficiente (2)</w:t>
            </w:r>
          </w:p>
        </w:tc>
        <w:tc>
          <w:tcPr>
            <w:tcW w:type="dxa" w:w="174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Insuficiente (1)</w:t>
            </w:r>
          </w:p>
        </w:tc>
      </w:tr>
      <w:tr>
        <w:tc>
          <w:tcPr>
            <w:tcW w:type="dxa" w:w="24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 Diagnóstico de necesidades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Identifica al menos 3 necesidades de DPH con evidencia contextual sólida y las prioriza con criterios explícitos.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Identifica 2-3 necesidades con evidencia parcial y las prioriza con criterios básicos.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Identifica necesidades de forma general, sin evidencia específica ni priorización clara.</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identifica necesidades de forma pertinente o no las relaciona con el contexto.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 Fundamentación conceptual</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 al menos 3 marcos teóricos del taller de forma coherente y aplicada al contexto.</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 2 marcos teóricos con aplicación parcialmente contextualizada.</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Menciona marcos teóricos sin integrarlos al diseño del plan.</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incorpora fundamentos conceptuales del taller.</w:t>
            </w:r>
          </w:p>
        </w:tc>
      </w:tr>
      <w:tr>
        <w:tc>
          <w:tcPr>
            <w:tcW w:type="dxa" w:w="24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Enfoque de derechos humanos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plan evidencia de forma explícita y transversal el enfoque de derechos humanos en todos sus componentes.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enfoque de derechos humanos aparece en algunos componentes del plan.</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 menciona el enfoque de derechos pero no se operacionaliza en las acciones.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plan no incorpora el enfoque de derechos humanos.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 Viabilidad y pertinencia contextual</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 acciones propuestas son claramente viables, adaptadas al contexto y recursos de la unidad.</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mayoría de las acciones son viables con ajustes menores.</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Algunas acciones presentan problemas de viabilidad no resueltos.</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 acciones propuestas no son viables en el contexto de la unidad.</w:t>
            </w:r>
          </w:p>
        </w:tc>
      </w:tr>
      <w:tr>
        <w:tc>
          <w:tcPr>
            <w:tcW w:type="dxa" w:w="24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 Instrumento de evaluación y satisfacción</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Incluye instrumento de evaluación y de satisfacción pertinentes, bien estructurados y alineados con los objetivos.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Incluye ambos instrumentos con deficiencias menores de estructura o alineación.</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Incluye solo uno de los instrumentos o ambos presentan deficiencias importantes.</w:t>
            </w:r>
          </w:p>
        </w:tc>
        <w:tc>
          <w:tcPr>
            <w:tcW w:type="dxa" w:w="1740"/>
            <w:tcBorders>
              <w:top w:val="single" w:color="AAAAAA" w:sz="1"/>
              <w:left w:val="single" w:color="AAAAAA" w:sz="1"/>
              <w:bottom w:val="single" w:color="AAAAAA" w:sz="1"/>
              <w:right w:val="single" w:color="AAAAAA" w:sz="1"/>
            </w:tcBorders>
            <w:shd w:fill="F0FA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incluye instrumentos de evaluación ni de satisfacción.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 Presentación y claridad</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exposición oral es clara, estructurada, en tiempo y refleja comprensión profunda del diseño.</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exposición oral es generalmente clara, con algunas imprecisiones.</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exposición presenta dificultades de organización o comprensión.</w:t>
            </w:r>
          </w:p>
        </w:tc>
        <w:tc>
          <w:tcPr>
            <w:tcW w:type="dxa" w:w="174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exposición no permite comprender el plan diseñado.</w:t>
            </w:r>
          </w:p>
        </w:tc>
      </w:tr>
    </w:tbl>
    <w:p>
      <w:pPr>
        <w:spacing w:after="60" w:before="60"/>
        <w:jc w:val="both"/>
      </w:pPr>
      <w:r>
        <w:rPr>
          <w:rFonts w:ascii="Arial" w:cs="Arial" w:eastAsia="Arial" w:hAnsi="Arial"/>
          <w:color w:val="1A1A1A"/>
          <w:sz w:val="22"/>
          <w:szCs w:val="22"/>
        </w:rPr>
        <w:t xml:space="preserve">Puntuación máxima: 24 puntos. Criterio de suficiencia: 16 puntos (67%). Rango de desempeño: Excelente 22-24 | Bueno 18-21 | Suficiente 16-17 | Insuficiente ≤15.</w:t>
      </w:r>
    </w:p>
    <w:p>
      <w:pPr>
        <w:spacing w:after="80" w:before="80"/>
      </w:pPr>
      <w:r>
        <w:t xml:space="preserve"/>
      </w:r>
    </w:p>
    <w:p>
      <w:pPr>
        <w:pStyle w:val="Heading2"/>
        <w:spacing w:after="120" w:before="240"/>
      </w:pPr>
      <w:r>
        <w:rPr>
          <w:rFonts w:ascii="Arial" w:cs="Arial" w:eastAsia="Arial" w:hAnsi="Arial"/>
          <w:b/>
          <w:bCs/>
          <w:color w:val="003087"/>
          <w:sz w:val="26"/>
          <w:szCs w:val="26"/>
        </w:rPr>
        <w:t xml:space="preserve">8.3 Lista de Cotejo: Micro-Carta Descriptiva EC0301 (Módulo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verificación</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Sí cumple</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cumple</w:t>
            </w:r>
          </w:p>
        </w:tc>
        <w:tc>
          <w:tcPr>
            <w:tcW w:type="dxa" w:w="1200"/>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Observaciones</w:t>
            </w:r>
          </w:p>
        </w:tc>
      </w:tr>
      <w:tr>
        <w:tc>
          <w:tcPr>
            <w:tcW w:type="dxa" w:w="576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carta descriptiva incluye datos de identificación completos (nombre del curso, duración, participantes, facilitador/a).</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objetivo general está redactado con verbo en infinitivo observable y medible.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 contenidos temáticos son pertinentes al objetivo y al contexto de la unidad.</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 actividades de aprendizaje favorecen la participación activa de las personas adultas.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 técnicas instruccionales son variadas y apropiadas para adultos en entorno de salud.</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 incluyen evidencias de aprendizaje específicas y verificables.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 criterios de evaluación son claros y están alineados con los objetivos.</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 materiales y recursos didácticos son accesibles y pertinentes.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 carta descriptiva incluye un instrumento de evaluación de satisfacción.</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2F9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r>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 diseño refleja el enfoque de derechos humanos y el lenguaje incluyente.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t>
            </w:r>
          </w:p>
        </w:tc>
      </w:tr>
    </w:tbl>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IX. INSTRUMENTO DE EVALUACIÓN DE SATISFACCIÓN DEL TALLER</w:t>
      </w:r>
    </w:p>
    <w:p>
      <w:pPr>
        <w:spacing w:after="60" w:before="60"/>
        <w:jc w:val="both"/>
      </w:pPr>
      <w:r>
        <w:rPr>
          <w:rFonts w:ascii="Arial" w:cs="Arial" w:eastAsia="Arial" w:hAnsi="Arial"/>
          <w:color w:val="1A1A1A"/>
          <w:sz w:val="22"/>
          <w:szCs w:val="22"/>
        </w:rPr>
        <w:t xml:space="preserve">El instrumento de evaluación de la satisfacción está diseñado conforme a los requerimientos del Estándar EC0301, garantizando la medición de la percepción de las personas participantes sobre la pertinencia, calidad, facilitación, condiciones y aplicabilidad del taller. Se aplica al final de la jornada del Módulo 5.</w:t>
      </w:r>
    </w:p>
    <w:p>
      <w:pPr>
        <w:spacing w:after="80" w:before="80"/>
      </w:pPr>
      <w:r>
        <w:t xml:space="preserve"/>
      </w:r>
    </w:p>
    <w:p>
      <w:pPr>
        <w:spacing w:after="60" w:before="120"/>
        <w:jc w:val="center"/>
      </w:pPr>
      <w:r>
        <w:rPr>
          <w:rFonts w:ascii="Arial" w:cs="Arial" w:eastAsia="Arial" w:hAnsi="Arial"/>
          <w:b/>
          <w:bCs/>
          <w:color w:val="1A6B3C"/>
          <w:sz w:val="24"/>
          <w:szCs w:val="24"/>
        </w:rPr>
        <w:t xml:space="preserve">CUESTIONARIO DE SATISFACCIÓN DEL TALLER DPH — SESVER</w:t>
      </w:r>
    </w:p>
    <w:p>
      <w:pPr>
        <w:spacing w:after="60" w:before="60"/>
        <w:jc w:val="both"/>
      </w:pPr>
      <w:r>
        <w:rPr>
          <w:rFonts w:ascii="Arial" w:cs="Arial" w:eastAsia="Arial" w:hAnsi="Arial"/>
          <w:color w:val="1A1A1A"/>
          <w:sz w:val="22"/>
          <w:szCs w:val="22"/>
        </w:rPr>
        <w:t xml:space="preserve">Folio: ____________   Fecha: ____________   Módulo concluido: _______   Unidad de adscripción: __________________________________</w:t>
      </w:r>
    </w:p>
    <w:p>
      <w:pPr>
        <w:spacing w:after="60" w:before="60"/>
        <w:jc w:val="both"/>
      </w:pPr>
      <w:r>
        <w:rPr>
          <w:rFonts w:ascii="Arial" w:cs="Arial" w:eastAsia="Arial" w:hAnsi="Arial"/>
          <w:color w:val="1A1A1A"/>
          <w:sz w:val="22"/>
          <w:szCs w:val="22"/>
        </w:rPr>
        <w:t xml:space="preserve">Instrucciones: A continuación encontrará una serie de afirmaciones sobre el taller. Marque con una X el número que mejor describe su percepción, siendo 1 = Totalmente en desacuerdo y 5 = Totalmente de acuerdo. Sus respuestas son anónimas y serán utilizadas exclusivamente para mejorar la calidad de los procesos formativos.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80"/>
        <w:gridCol w:w="1080"/>
        <w:gridCol w:w="1080"/>
        <w:gridCol w:w="1080"/>
        <w:gridCol w:w="1040"/>
        <w:gridCol w:w="1000"/>
      </w:tblGrid>
      <w:tr>
        <w:tc>
          <w:tcPr>
            <w:tcW w:type="dxa" w:w="300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Ítem</w:t>
            </w:r>
          </w:p>
        </w:tc>
        <w:tc>
          <w:tcPr>
            <w:tcW w:type="dxa" w:w="108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
Totalmente
en desacuerdo</w:t>
            </w:r>
          </w:p>
        </w:tc>
        <w:tc>
          <w:tcPr>
            <w:tcW w:type="dxa" w:w="108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2
En
desacuerdo</w:t>
            </w:r>
          </w:p>
        </w:tc>
        <w:tc>
          <w:tcPr>
            <w:tcW w:type="dxa" w:w="108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3
Ni de acuerdo
ni en desacuerdo</w:t>
            </w:r>
          </w:p>
        </w:tc>
        <w:tc>
          <w:tcPr>
            <w:tcW w:type="dxa" w:w="108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4
De
acuerdo</w:t>
            </w:r>
          </w:p>
        </w:tc>
        <w:tc>
          <w:tcPr>
            <w:tcW w:type="dxa" w:w="104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
Totalmente
de acuerdo</w:t>
            </w:r>
          </w:p>
        </w:tc>
        <w:tc>
          <w:tcPr>
            <w:tcW w:type="dxa" w:w="1000"/>
            <w:tcBorders>
              <w:top w:val="single" w:color="AAAAAA" w:sz="1"/>
              <w:left w:val="single" w:color="AAAAAA" w:sz="1"/>
              <w:bottom w:val="single" w:color="AAAAAA" w:sz="1"/>
              <w:right w:val="single" w:color="AAAAAA" w:sz="1"/>
            </w:tcBorders>
            <w:shd w:fill="1A6B3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Observaciones</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1. Los objetivos del taller fueron claros desde el inicio.</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 Los contenidos temáticos respondieron a mis necesidades de formación.</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3. Las actividades de aprendizaje favorecieron mi participación activa.</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4. El o la facilitador(a) demostró dominio de los temas abordados.</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5. El o la facilitador(a) promovió un ambiente de respeto e inclusión.</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6. Los materiales didácticos fueron pertinentes y de calidad.</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7. El taller fortaleció mi comprensión del desarrollo del potencial humano.</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8. Los temas de derechos humanos fueron tratados con profundidad y respeto.</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9. El espacio y las condiciones físicas fueron adecuados para el aprendizaje.</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10. El tiempo asignado a cada tema fue suficiente para su comprensión.</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11. Las herramientas y estrategias aprendidas son aplicables en mi entorno laboral.</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12. El taller me motivó a replicar estas acciones con el personal a mi cargo.</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13. La duración total del taller (40 horas) fue pertinente para los contenidos.</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14. El enfoque de derechos humanos fue visible en toda la dinámica del taller.</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r>
        <w:tc>
          <w:tcPr>
            <w:tcW w:type="dxa" w:w="3000"/>
            <w:tcBorders>
              <w:top w:val="single" w:color="AAAAAA" w:sz="1"/>
              <w:left w:val="single" w:color="AAAAAA" w:sz="1"/>
              <w:bottom w:val="single" w:color="AAAAAA" w:sz="1"/>
              <w:right w:val="single" w:color="AAAAAA" w:sz="1"/>
            </w:tcBorders>
            <w:shd w:fill="F2F9F2" w:val="clear"/>
            <w:tcMar>
              <w:top w:type="dxa" w:w="60"/>
              <w:left w:type="dxa" w:w="80"/>
              <w:bottom w:type="dxa" w:w="60"/>
              <w:right w:type="dxa" w:w="80"/>
            </w:tcMar>
          </w:tcPr>
          <w:p>
            <w:r>
              <w:rPr>
                <w:rFonts w:ascii="Arial" w:cs="Arial" w:eastAsia="Arial" w:hAnsi="Arial"/>
                <w:sz w:val="18"/>
                <w:szCs w:val="18"/>
              </w:rPr>
              <w:t xml:space="preserve">15. En términos generales, el taller superó mis expectativas.</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8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4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c>
          <w:tcPr>
            <w:tcW w:type="dxa" w:w="1000"/>
            <w:tcBorders>
              <w:top w:val="single" w:color="AAAAAA" w:sz="1"/>
              <w:left w:val="single" w:color="AAAAAA" w:sz="1"/>
              <w:bottom w:val="single" w:color="AAAAAA" w:sz="1"/>
              <w:right w:val="single" w:color="AAAAAA" w:sz="1"/>
            </w:tcBorders>
            <w:shd w:fill="F2F9F2" w:val="clear"/>
            <w:tcMar>
              <w:top w:type="dxa" w:w="60"/>
              <w:left w:type="dxa" w:w="40"/>
              <w:bottom w:type="dxa" w:w="60"/>
              <w:right w:type="dxa" w:w="40"/>
            </w:tcMar>
            <w:vAlign w:val="center"/>
          </w:tcPr>
          <w:p>
            <w:pPr>
              <w:jc w:val="center"/>
            </w:pPr>
            <w:r>
              <w:rPr>
                <w:rFonts w:ascii="Arial" w:cs="Arial" w:eastAsia="Arial" w:hAnsi="Arial"/>
                <w:sz w:val="18"/>
                <w:szCs w:val="18"/>
              </w:rPr>
              <w:t xml:space="preserve"> </w:t>
            </w:r>
          </w:p>
        </w:tc>
      </w:tr>
    </w:tbl>
    <w:p>
      <w:pPr>
        <w:spacing w:after="80" w:before="80"/>
      </w:pPr>
      <w:r>
        <w:t xml:space="preserve"/>
      </w:r>
    </w:p>
    <w:p>
      <w:pPr>
        <w:spacing w:after="60" w:before="60"/>
        <w:jc w:val="both"/>
      </w:pPr>
      <w:r>
        <w:rPr>
          <w:rFonts w:ascii="Arial" w:cs="Arial" w:eastAsia="Arial" w:hAnsi="Arial"/>
          <w:color w:val="1A1A1A"/>
          <w:sz w:val="22"/>
          <w:szCs w:val="22"/>
        </w:rPr>
        <w:t xml:space="preserve">Comentarios y sugerencias para mejorar el taller:</w:t>
      </w:r>
    </w:p>
    <w:p>
      <w:pPr>
        <w:spacing w:after="40" w:before="40"/>
      </w:pPr>
      <w:r>
        <w:rPr>
          <w:rFonts w:ascii="Arial" w:cs="Arial" w:eastAsia="Arial" w:hAnsi="Arial"/>
          <w:sz w:val="22"/>
          <w:szCs w:val="22"/>
        </w:rPr>
        <w:t xml:space="preserve">________________________________________________________________________________
________________________________________________________________________________
________________________________________________________________________________</w:t>
      </w:r>
    </w:p>
    <w:p>
      <w:pPr>
        <w:spacing w:after="60" w:before="60"/>
        <w:jc w:val="both"/>
      </w:pPr>
      <w:r>
        <w:rPr>
          <w:rFonts w:ascii="Arial" w:cs="Arial" w:eastAsia="Arial" w:hAnsi="Arial"/>
          <w:color w:val="1A1A1A"/>
          <w:sz w:val="22"/>
          <w:szCs w:val="22"/>
        </w:rPr>
        <w:t xml:space="preserve">¿Qué tema le pareció más valioso y por qué?</w:t>
      </w:r>
    </w:p>
    <w:p>
      <w:pPr>
        <w:spacing w:after="40" w:before="40"/>
      </w:pPr>
      <w:r>
        <w:rPr>
          <w:rFonts w:ascii="Arial" w:cs="Arial" w:eastAsia="Arial" w:hAnsi="Arial"/>
          <w:sz w:val="22"/>
          <w:szCs w:val="22"/>
        </w:rPr>
        <w:t xml:space="preserve">________________________________________________________________________________
________________________________________________________________________________</w:t>
      </w:r>
    </w:p>
    <w:p>
      <w:pPr>
        <w:spacing w:after="60" w:before="60"/>
        <w:jc w:val="both"/>
      </w:pPr>
      <w:r>
        <w:rPr>
          <w:rFonts w:ascii="Arial" w:cs="Arial" w:eastAsia="Arial" w:hAnsi="Arial"/>
          <w:color w:val="1A1A1A"/>
          <w:sz w:val="22"/>
          <w:szCs w:val="22"/>
        </w:rPr>
        <w:t xml:space="preserve">¿Qué tema requeriría mayor profundidad o más tiempo?</w:t>
      </w:r>
    </w:p>
    <w:p>
      <w:pPr>
        <w:spacing w:after="120" w:before="40"/>
      </w:pPr>
      <w:r>
        <w:rPr>
          <w:rFonts w:ascii="Arial" w:cs="Arial" w:eastAsia="Arial" w:hAnsi="Arial"/>
          <w:sz w:val="22"/>
          <w:szCs w:val="22"/>
        </w:rPr>
        <w:t xml:space="preserve">________________________________________________________________________________
________________________________________________________________________________</w:t>
      </w:r>
    </w:p>
    <w:p>
      <w:pPr>
        <w:spacing w:after="60" w:before="60"/>
        <w:jc w:val="both"/>
      </w:pPr>
      <w:r>
        <w:rPr>
          <w:rFonts w:ascii="Arial" w:cs="Arial" w:eastAsia="Arial" w:hAnsi="Arial"/>
          <w:color w:val="003087"/>
          <w:sz w:val="22"/>
          <w:szCs w:val="22"/>
        </w:rPr>
        <w:t xml:space="preserve">Gracias por su participación. Su retroalimentación es fundamental para el mejoramiento continuo de los procesos de desarrollo del potencial humano en los Servicios de Salud de Veracruz.</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X. MATERIALES Y RECURSOS GENERALES DEL TALLER</w:t>
      </w:r>
    </w:p>
    <w:p>
      <w:pPr>
        <w:pStyle w:val="Heading2"/>
        <w:spacing w:after="120" w:before="240"/>
      </w:pPr>
      <w:r>
        <w:rPr>
          <w:rFonts w:ascii="Arial" w:cs="Arial" w:eastAsia="Arial" w:hAnsi="Arial"/>
          <w:b/>
          <w:bCs/>
          <w:color w:val="003087"/>
          <w:sz w:val="26"/>
          <w:szCs w:val="26"/>
        </w:rPr>
        <w:t xml:space="preserve">10.1 Materiales impresos para las personas participantes</w:t>
      </w:r>
    </w:p>
    <w:p>
      <w:pPr>
        <w:pStyle w:val="ListParagraph"/>
        <w:numPr>
          <w:ilvl w:val="0"/>
          <w:numId w:val="2"/>
        </w:numPr>
        <w:spacing w:after="40" w:before="40"/>
      </w:pPr>
      <w:r>
        <w:rPr>
          <w:rFonts w:ascii="Arial" w:cs="Arial" w:eastAsia="Arial" w:hAnsi="Arial"/>
          <w:color w:val="1A1A1A"/>
          <w:sz w:val="22"/>
          <w:szCs w:val="22"/>
        </w:rPr>
        <w:t xml:space="preserve">Manual del participante (incluye encuadre, objetivo general, objetivos por módulo, lecturas de apoyo, formatos de actividades y glosario)</w:t>
      </w:r>
    </w:p>
    <w:p>
      <w:pPr>
        <w:pStyle w:val="ListParagraph"/>
        <w:numPr>
          <w:ilvl w:val="0"/>
          <w:numId w:val="2"/>
        </w:numPr>
        <w:spacing w:after="40" w:before="40"/>
      </w:pPr>
      <w:r>
        <w:rPr>
          <w:rFonts w:ascii="Arial" w:cs="Arial" w:eastAsia="Arial" w:hAnsi="Arial"/>
          <w:color w:val="1A1A1A"/>
          <w:sz w:val="22"/>
          <w:szCs w:val="22"/>
        </w:rPr>
        <w:t xml:space="preserve">Formato de 'Mi plan personal de bienestar' (Módulo 3)</w:t>
      </w:r>
    </w:p>
    <w:p>
      <w:pPr>
        <w:pStyle w:val="ListParagraph"/>
        <w:numPr>
          <w:ilvl w:val="0"/>
          <w:numId w:val="2"/>
        </w:numPr>
        <w:spacing w:after="40" w:before="40"/>
      </w:pPr>
      <w:r>
        <w:rPr>
          <w:rFonts w:ascii="Arial" w:cs="Arial" w:eastAsia="Arial" w:hAnsi="Arial"/>
          <w:color w:val="1A1A1A"/>
          <w:sz w:val="22"/>
          <w:szCs w:val="22"/>
        </w:rPr>
        <w:t xml:space="preserve">Formato de diagnóstico de necesidades de capacitación (Módulo 5)</w:t>
      </w:r>
    </w:p>
    <w:p>
      <w:pPr>
        <w:pStyle w:val="ListParagraph"/>
        <w:numPr>
          <w:ilvl w:val="0"/>
          <w:numId w:val="2"/>
        </w:numPr>
        <w:spacing w:after="40" w:before="40"/>
      </w:pPr>
      <w:r>
        <w:rPr>
          <w:rFonts w:ascii="Arial" w:cs="Arial" w:eastAsia="Arial" w:hAnsi="Arial"/>
          <w:color w:val="1A1A1A"/>
          <w:sz w:val="22"/>
          <w:szCs w:val="22"/>
        </w:rPr>
        <w:t xml:space="preserve">Plantilla de micro-carta descriptiva EC0301 (Módulo 5)</w:t>
      </w:r>
    </w:p>
    <w:p>
      <w:pPr>
        <w:pStyle w:val="ListParagraph"/>
        <w:numPr>
          <w:ilvl w:val="0"/>
          <w:numId w:val="2"/>
        </w:numPr>
        <w:spacing w:after="40" w:before="40"/>
      </w:pPr>
      <w:r>
        <w:rPr>
          <w:rFonts w:ascii="Arial" w:cs="Arial" w:eastAsia="Arial" w:hAnsi="Arial"/>
          <w:color w:val="1A1A1A"/>
          <w:sz w:val="22"/>
          <w:szCs w:val="22"/>
        </w:rPr>
        <w:t xml:space="preserve">Formato del Plan de Acción DPH (Módulo 5) — Formato institucional SESVER</w:t>
      </w:r>
    </w:p>
    <w:p>
      <w:pPr>
        <w:pStyle w:val="ListParagraph"/>
        <w:numPr>
          <w:ilvl w:val="0"/>
          <w:numId w:val="2"/>
        </w:numPr>
        <w:spacing w:after="40" w:before="40"/>
      </w:pPr>
      <w:r>
        <w:rPr>
          <w:rFonts w:ascii="Arial" w:cs="Arial" w:eastAsia="Arial" w:hAnsi="Arial"/>
          <w:color w:val="1A1A1A"/>
          <w:sz w:val="22"/>
          <w:szCs w:val="22"/>
        </w:rPr>
        <w:t xml:space="preserve">Cuestionario de evaluación diagnóstica CAPE-DPH</w:t>
      </w:r>
    </w:p>
    <w:p>
      <w:pPr>
        <w:pStyle w:val="ListParagraph"/>
        <w:numPr>
          <w:ilvl w:val="0"/>
          <w:numId w:val="2"/>
        </w:numPr>
        <w:spacing w:after="40" w:before="40"/>
      </w:pPr>
      <w:r>
        <w:rPr>
          <w:rFonts w:ascii="Arial" w:cs="Arial" w:eastAsia="Arial" w:hAnsi="Arial"/>
          <w:color w:val="1A1A1A"/>
          <w:sz w:val="22"/>
          <w:szCs w:val="22"/>
        </w:rPr>
        <w:t xml:space="preserve">Cuestionario de satisfacción del taller</w:t>
      </w:r>
    </w:p>
    <w:p>
      <w:pPr>
        <w:pStyle w:val="Heading2"/>
        <w:spacing w:after="120" w:before="240"/>
      </w:pPr>
      <w:r>
        <w:rPr>
          <w:rFonts w:ascii="Arial" w:cs="Arial" w:eastAsia="Arial" w:hAnsi="Arial"/>
          <w:b/>
          <w:bCs/>
          <w:color w:val="003087"/>
          <w:sz w:val="26"/>
          <w:szCs w:val="26"/>
        </w:rPr>
        <w:t xml:space="preserve">10.2 Materiales para la persona facilitadora</w:t>
      </w:r>
    </w:p>
    <w:p>
      <w:pPr>
        <w:pStyle w:val="ListParagraph"/>
        <w:numPr>
          <w:ilvl w:val="0"/>
          <w:numId w:val="2"/>
        </w:numPr>
        <w:spacing w:after="40" w:before="40"/>
      </w:pPr>
      <w:r>
        <w:rPr>
          <w:rFonts w:ascii="Arial" w:cs="Arial" w:eastAsia="Arial" w:hAnsi="Arial"/>
          <w:color w:val="1A1A1A"/>
          <w:sz w:val="22"/>
          <w:szCs w:val="22"/>
        </w:rPr>
        <w:t xml:space="preserve">Manual del instructor/a (incluye guía detallada de facilitación por módulo, tiempos sugeridos, notas metodológicas y criterios de evaluación)</w:t>
      </w:r>
    </w:p>
    <w:p>
      <w:pPr>
        <w:pStyle w:val="ListParagraph"/>
        <w:numPr>
          <w:ilvl w:val="0"/>
          <w:numId w:val="2"/>
        </w:numPr>
        <w:spacing w:after="40" w:before="40"/>
      </w:pPr>
      <w:r>
        <w:rPr>
          <w:rFonts w:ascii="Arial" w:cs="Arial" w:eastAsia="Arial" w:hAnsi="Arial"/>
          <w:color w:val="1A1A1A"/>
          <w:sz w:val="22"/>
          <w:szCs w:val="22"/>
        </w:rPr>
        <w:t xml:space="preserve">Presentaciones multimedia (5, una por módulo) en formato accesible</w:t>
      </w:r>
    </w:p>
    <w:p>
      <w:pPr>
        <w:pStyle w:val="ListParagraph"/>
        <w:numPr>
          <w:ilvl w:val="0"/>
          <w:numId w:val="2"/>
        </w:numPr>
        <w:spacing w:after="40" w:before="40"/>
      </w:pPr>
      <w:r>
        <w:rPr>
          <w:rFonts w:ascii="Arial" w:cs="Arial" w:eastAsia="Arial" w:hAnsi="Arial"/>
          <w:color w:val="1A1A1A"/>
          <w:sz w:val="22"/>
          <w:szCs w:val="22"/>
        </w:rPr>
        <w:t xml:space="preserve">Tarjetas de escenarios para role playing (Módulos 2, 3 y 4)</w:t>
      </w:r>
    </w:p>
    <w:p>
      <w:pPr>
        <w:pStyle w:val="ListParagraph"/>
        <w:numPr>
          <w:ilvl w:val="0"/>
          <w:numId w:val="2"/>
        </w:numPr>
        <w:spacing w:after="40" w:before="40"/>
      </w:pPr>
      <w:r>
        <w:rPr>
          <w:rFonts w:ascii="Arial" w:cs="Arial" w:eastAsia="Arial" w:hAnsi="Arial"/>
          <w:color w:val="1A1A1A"/>
          <w:sz w:val="22"/>
          <w:szCs w:val="22"/>
        </w:rPr>
        <w:t xml:space="preserve">Casos de estudio impresos (Módulos 1, 2 y 4)</w:t>
      </w:r>
    </w:p>
    <w:p>
      <w:pPr>
        <w:pStyle w:val="ListParagraph"/>
        <w:numPr>
          <w:ilvl w:val="0"/>
          <w:numId w:val="2"/>
        </w:numPr>
        <w:spacing w:after="40" w:before="40"/>
      </w:pPr>
      <w:r>
        <w:rPr>
          <w:rFonts w:ascii="Arial" w:cs="Arial" w:eastAsia="Arial" w:hAnsi="Arial"/>
          <w:color w:val="1A1A1A"/>
          <w:sz w:val="22"/>
          <w:szCs w:val="22"/>
        </w:rPr>
        <w:t xml:space="preserve">Rúbricas y listas de cotejo para evaluación formativa y sumativa</w:t>
      </w:r>
    </w:p>
    <w:p>
      <w:pPr>
        <w:pStyle w:val="ListParagraph"/>
        <w:numPr>
          <w:ilvl w:val="0"/>
          <w:numId w:val="2"/>
        </w:numPr>
        <w:spacing w:after="40" w:before="40"/>
      </w:pPr>
      <w:r>
        <w:rPr>
          <w:rFonts w:ascii="Arial" w:cs="Arial" w:eastAsia="Arial" w:hAnsi="Arial"/>
          <w:color w:val="1A1A1A"/>
          <w:sz w:val="22"/>
          <w:szCs w:val="22"/>
        </w:rPr>
        <w:t xml:space="preserve">Rueda de emociones de Plutchik (impresión tamaño carta, una por participante)</w:t>
      </w:r>
    </w:p>
    <w:p>
      <w:pPr>
        <w:pStyle w:val="Heading2"/>
        <w:spacing w:after="120" w:before="240"/>
      </w:pPr>
      <w:r>
        <w:rPr>
          <w:rFonts w:ascii="Arial" w:cs="Arial" w:eastAsia="Arial" w:hAnsi="Arial"/>
          <w:b/>
          <w:bCs/>
          <w:color w:val="003087"/>
          <w:sz w:val="26"/>
          <w:szCs w:val="26"/>
        </w:rPr>
        <w:t xml:space="preserve">10.3 Recursos de infraestructura</w:t>
      </w:r>
    </w:p>
    <w:p>
      <w:pPr>
        <w:pStyle w:val="ListParagraph"/>
        <w:numPr>
          <w:ilvl w:val="0"/>
          <w:numId w:val="2"/>
        </w:numPr>
        <w:spacing w:after="40" w:before="40"/>
      </w:pPr>
      <w:r>
        <w:rPr>
          <w:rFonts w:ascii="Arial" w:cs="Arial" w:eastAsia="Arial" w:hAnsi="Arial"/>
          <w:color w:val="1A1A1A"/>
          <w:sz w:val="22"/>
          <w:szCs w:val="22"/>
        </w:rPr>
        <w:t xml:space="preserve">Aula con capacidad para 30 personas en disposición flexible (mesas de trabajo en equipo)</w:t>
      </w:r>
    </w:p>
    <w:p>
      <w:pPr>
        <w:pStyle w:val="ListParagraph"/>
        <w:numPr>
          <w:ilvl w:val="0"/>
          <w:numId w:val="2"/>
        </w:numPr>
        <w:spacing w:after="40" w:before="40"/>
      </w:pPr>
      <w:r>
        <w:rPr>
          <w:rFonts w:ascii="Arial" w:cs="Arial" w:eastAsia="Arial" w:hAnsi="Arial"/>
          <w:color w:val="1A1A1A"/>
          <w:sz w:val="22"/>
          <w:szCs w:val="22"/>
        </w:rPr>
        <w:t xml:space="preserve">Proyector y pantalla</w:t>
      </w:r>
    </w:p>
    <w:p>
      <w:pPr>
        <w:pStyle w:val="ListParagraph"/>
        <w:numPr>
          <w:ilvl w:val="0"/>
          <w:numId w:val="2"/>
        </w:numPr>
        <w:spacing w:after="40" w:before="40"/>
      </w:pPr>
      <w:r>
        <w:rPr>
          <w:rFonts w:ascii="Arial" w:cs="Arial" w:eastAsia="Arial" w:hAnsi="Arial"/>
          <w:color w:val="1A1A1A"/>
          <w:sz w:val="22"/>
          <w:szCs w:val="22"/>
        </w:rPr>
        <w:t xml:space="preserve">Rotafolios (mínimo 2), marcadores de colores, cinta adhesiva</w:t>
      </w:r>
    </w:p>
    <w:p>
      <w:pPr>
        <w:pStyle w:val="ListParagraph"/>
        <w:numPr>
          <w:ilvl w:val="0"/>
          <w:numId w:val="2"/>
        </w:numPr>
        <w:spacing w:after="40" w:before="40"/>
      </w:pPr>
      <w:r>
        <w:rPr>
          <w:rFonts w:ascii="Arial" w:cs="Arial" w:eastAsia="Arial" w:hAnsi="Arial"/>
          <w:color w:val="1A1A1A"/>
          <w:sz w:val="22"/>
          <w:szCs w:val="22"/>
        </w:rPr>
        <w:t xml:space="preserve">Hojas bond, plumones, tarjetas de colores</w:t>
      </w:r>
    </w:p>
    <w:p>
      <w:pPr>
        <w:pStyle w:val="ListParagraph"/>
        <w:numPr>
          <w:ilvl w:val="0"/>
          <w:numId w:val="2"/>
        </w:numPr>
        <w:spacing w:after="40" w:before="40"/>
      </w:pPr>
      <w:r>
        <w:rPr>
          <w:rFonts w:ascii="Arial" w:cs="Arial" w:eastAsia="Arial" w:hAnsi="Arial"/>
          <w:color w:val="1A1A1A"/>
          <w:sz w:val="22"/>
          <w:szCs w:val="22"/>
        </w:rPr>
        <w:t xml:space="preserve">Acceso a Internet (para recursos multimedia complementarios opcionales)</w:t>
      </w:r>
    </w:p>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XI. ALINEACIÓN NORMATIVA Y MARCO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AAAAAA" w:sz="1"/>
              <w:left w:val="single" w:color="AAAAAA" w:sz="1"/>
              <w:bottom w:val="single" w:color="AAAAAA" w:sz="1"/>
              <w:right w:val="single" w:color="AAAAAA" w:sz="1"/>
            </w:tcBorders>
            <w:shd w:fill="1A6B3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MARCO NORMATIVO Y DE REFERENCIA</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Constitución Política de los EUM</w:t>
            </w:r>
          </w:p>
        </w:tc>
        <w:tc>
          <w:tcPr>
            <w:tcW w:type="dxa" w:w="65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 1° (Derechos Humanos), Artículo 4° (Derecho a la salud, igualdad de género)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Ley General de Salud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Artículos 2, 6, 27 y 51 (calidad en la atención, derechos de los usuarios)</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NOM-046-SSA2-2005</w:t>
            </w:r>
          </w:p>
        </w:tc>
        <w:tc>
          <w:tcPr>
            <w:tcW w:type="dxa" w:w="65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Violencia familiar, sexual y contra las mujeres — criterios para la prevención y atención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CNDH</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Recomendaciones en materia de salud; Programa Especial de Sexualidad, Salud y VIH; Programa de DESCA</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ODS 3 (Naciones Unidas)</w:t>
            </w:r>
          </w:p>
        </w:tc>
        <w:tc>
          <w:tcPr>
            <w:tcW w:type="dxa" w:w="65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Salud y bienestar: garantizar una vida sana y promover el bienestar para todos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ODS 10 (Naciones Unidas)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Reducción de las desigualdades: igualdad de oportunidades, inclusión</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ODS 16 (Naciones Unidas)</w:t>
            </w:r>
          </w:p>
        </w:tc>
        <w:tc>
          <w:tcPr>
            <w:tcW w:type="dxa" w:w="65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Paz, justicia e instituciones sólidas: acceso a la justicia, instituciones eficaces e inclusivas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EC0301 (CONOCER)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Estándar de competencia para el diseño de cursos de formación del capital humano</w:t>
            </w:r>
          </w:p>
        </w:tc>
      </w:tr>
      <w:tr>
        <w:tc>
          <w:tcPr>
            <w:tcW w:type="dxa" w:w="2800"/>
            <w:tcBorders>
              <w:top w:val="single" w:color="AAAAAA" w:sz="1"/>
              <w:left w:val="single" w:color="AAAAAA" w:sz="1"/>
              <w:bottom w:val="single" w:color="AAAAAA" w:sz="1"/>
              <w:right w:val="single" w:color="AAAAAA" w:sz="1"/>
            </w:tcBorders>
            <w:shd w:fill="D6EA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Estrategia DPH de SESVER</w:t>
            </w:r>
          </w:p>
        </w:tc>
        <w:tc>
          <w:tcPr>
            <w:tcW w:type="dxa" w:w="65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Objetivos, estrategias y Red Estatal de Enlaces del Departamento de DPH — SEIC — SESVER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OMS, 2022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Estrategia mundial de recursos humanos para la salud: personal sanitario 2030</w:t>
            </w:r>
          </w:p>
        </w:tc>
      </w:tr>
    </w:tbl>
    <w:p>
      <w:pPr>
        <w:spacing w:after="80" w:before="80"/>
      </w:pPr>
      <w:r>
        <w:t xml:space="preserve"/>
      </w:r>
    </w:p>
    <w:p>
      <w:r>
        <w:br w:type="page"/>
      </w:r>
    </w:p>
    <w:p>
      <w:pPr>
        <w:pStyle w:val="Heading1"/>
        <w:pBdr>
          <w:bottom w:val="single" w:color="1A6B3C" w:sz="6" w:space="1"/>
        </w:pBdr>
        <w:spacing w:after="180" w:before="360"/>
      </w:pPr>
      <w:r>
        <w:rPr>
          <w:rFonts w:ascii="Arial" w:cs="Arial" w:eastAsia="Arial" w:hAnsi="Arial"/>
          <w:b/>
          <w:bCs/>
          <w:color w:val="1A6B3C"/>
          <w:sz w:val="32"/>
          <w:szCs w:val="32"/>
        </w:rPr>
        <w:t xml:space="preserve">XII. REFERENCIAS BIBLIOGRÁFICAS</w:t>
      </w:r>
    </w:p>
    <w:p>
      <w:pPr>
        <w:spacing w:after="60" w:before="60"/>
        <w:jc w:val="both"/>
      </w:pPr>
      <w:r>
        <w:rPr>
          <w:rFonts w:ascii="Arial" w:cs="Arial" w:eastAsia="Arial" w:hAnsi="Arial"/>
          <w:color w:val="1A1A1A"/>
          <w:sz w:val="22"/>
          <w:szCs w:val="22"/>
        </w:rPr>
        <w:t xml:space="preserve">Las siguientes referencias han sido elaboradas conforme a los lineamientos de estilo de la 7.ª edición de las normas de la American Psychological Association (APA, 2020):</w:t>
      </w:r>
    </w:p>
    <w:p>
      <w:pPr>
        <w:spacing w:after="80" w:before="80"/>
      </w:pPr>
      <w:r>
        <w:t xml:space="preserve"/>
      </w:r>
    </w:p>
    <w:p>
      <w:pPr>
        <w:spacing w:after="60" w:before="60"/>
        <w:jc w:val="both"/>
      </w:pPr>
      <w:r>
        <w:rPr>
          <w:rFonts w:ascii="Arial" w:cs="Arial" w:eastAsia="Arial" w:hAnsi="Arial"/>
          <w:color w:val="1A1A1A"/>
          <w:sz w:val="22"/>
          <w:szCs w:val="22"/>
        </w:rPr>
        <w:t xml:space="preserve">Comisión Nacional de los Derechos Humanos. (2024). Informe de actividades 2023-2024. CNDH. https://www.cndh.org.mx</w:t>
      </w:r>
    </w:p>
    <w:p>
      <w:pPr>
        <w:spacing w:after="60" w:before="60"/>
        <w:jc w:val="both"/>
      </w:pPr>
      <w:r>
        <w:rPr>
          <w:rFonts w:ascii="Arial" w:cs="Arial" w:eastAsia="Arial" w:hAnsi="Arial"/>
          <w:color w:val="1A1A1A"/>
          <w:sz w:val="22"/>
          <w:szCs w:val="22"/>
        </w:rPr>
        <w:t xml:space="preserve">Consejo Nacional de Normalización y Certificación de Competencias Laborales. (2021). Estándar de competencia EC0301: Diseño de cursos de formación del capital humano de manera presencial grupal, sus instrumentos de evaluación y manuales del curso. Diario Oficial de la Federación. https://www.conocer.gob.mx</w:t>
      </w:r>
    </w:p>
    <w:p>
      <w:pPr>
        <w:spacing w:after="60" w:before="60"/>
        <w:jc w:val="both"/>
      </w:pPr>
      <w:r>
        <w:rPr>
          <w:rFonts w:ascii="Arial" w:cs="Arial" w:eastAsia="Arial" w:hAnsi="Arial"/>
          <w:color w:val="1A1A1A"/>
          <w:sz w:val="22"/>
          <w:szCs w:val="22"/>
        </w:rPr>
        <w:t xml:space="preserve">Goleman, D. (2020). Emotional intelligence: Why it can matter more than IQ (25th anniversary ed.). Bantam Books.</w:t>
      </w:r>
    </w:p>
    <w:p>
      <w:pPr>
        <w:spacing w:after="60" w:before="60"/>
        <w:jc w:val="both"/>
      </w:pPr>
      <w:r>
        <w:rPr>
          <w:rFonts w:ascii="Arial" w:cs="Arial" w:eastAsia="Arial" w:hAnsi="Arial"/>
          <w:color w:val="1A1A1A"/>
          <w:sz w:val="22"/>
          <w:szCs w:val="22"/>
        </w:rPr>
        <w:t xml:space="preserve">Kirschenbaum, H. (2021). The life and work of Carl Rogers (2nd ed.). American Counseling Association.</w:t>
      </w:r>
    </w:p>
    <w:p>
      <w:pPr>
        <w:spacing w:after="60" w:before="60"/>
        <w:jc w:val="both"/>
      </w:pPr>
      <w:r>
        <w:rPr>
          <w:rFonts w:ascii="Arial" w:cs="Arial" w:eastAsia="Arial" w:hAnsi="Arial"/>
          <w:color w:val="1A1A1A"/>
          <w:sz w:val="22"/>
          <w:szCs w:val="22"/>
        </w:rPr>
        <w:t xml:space="preserve">Knowles, M. S., Holton, E. F., &amp; Swanson, R. A. (2015). The adult learner: The definitive classic in adult education and human resource development (8th ed.). Routledge.</w:t>
      </w:r>
    </w:p>
    <w:p>
      <w:pPr>
        <w:spacing w:after="60" w:before="60"/>
        <w:jc w:val="both"/>
      </w:pPr>
      <w:r>
        <w:rPr>
          <w:rFonts w:ascii="Arial" w:cs="Arial" w:eastAsia="Arial" w:hAnsi="Arial"/>
          <w:color w:val="1A1A1A"/>
          <w:sz w:val="22"/>
          <w:szCs w:val="22"/>
        </w:rPr>
        <w:t xml:space="preserve">Maslow, A. H. (2021). A theory of human motivation. Reprinted in R. P. Vecchio (Ed.), Leadership: Understanding the dynamics of power and influence in organizations (3rd ed., pp. 23-38). University of Notre Dame Press. (Trabajo original publicado en 1943)</w:t>
      </w:r>
    </w:p>
    <w:p>
      <w:pPr>
        <w:spacing w:after="60" w:before="60"/>
        <w:jc w:val="both"/>
      </w:pPr>
      <w:r>
        <w:rPr>
          <w:rFonts w:ascii="Arial" w:cs="Arial" w:eastAsia="Arial" w:hAnsi="Arial"/>
          <w:color w:val="1A1A1A"/>
          <w:sz w:val="22"/>
          <w:szCs w:val="22"/>
        </w:rPr>
        <w:t xml:space="preserve">Naciones Unidas. (2015). Transformar nuestro mundo: la Agenda 2030 para el Desarrollo Sostenible (A/RES/70/1). Asamblea General de las Naciones Unidas. https://www.un.org/sustainabledevelopment/es/sustainable-development-goals/</w:t>
      </w:r>
    </w:p>
    <w:p>
      <w:pPr>
        <w:spacing w:after="60" w:before="60"/>
        <w:jc w:val="both"/>
      </w:pPr>
      <w:r>
        <w:rPr>
          <w:rFonts w:ascii="Arial" w:cs="Arial" w:eastAsia="Arial" w:hAnsi="Arial"/>
          <w:color w:val="1A1A1A"/>
          <w:sz w:val="22"/>
          <w:szCs w:val="22"/>
        </w:rPr>
        <w:t xml:space="preserve">Organización Mundial de la Salud. (2022). Estrategia mundial de recursos humanos para la salud: personal sanitario 2030 — Informe de seguimiento. OMS. https://www.who.int/es/publications/i/item/9789240034464</w:t>
      </w:r>
    </w:p>
    <w:p>
      <w:pPr>
        <w:spacing w:after="60" w:before="60"/>
        <w:jc w:val="both"/>
      </w:pPr>
      <w:r>
        <w:rPr>
          <w:rFonts w:ascii="Arial" w:cs="Arial" w:eastAsia="Arial" w:hAnsi="Arial"/>
          <w:color w:val="1A1A1A"/>
          <w:sz w:val="22"/>
          <w:szCs w:val="22"/>
        </w:rPr>
        <w:t xml:space="preserve">Seligman, M. E. P. (2019). Positive psychology: A personal history. Annual Review of Clinical Psychology, 15, 1-23. https://doi.org/10.1146/annurev-clinpsy-050718-095653</w:t>
      </w:r>
    </w:p>
    <w:p>
      <w:pPr>
        <w:spacing w:after="60" w:before="60"/>
        <w:jc w:val="both"/>
      </w:pPr>
      <w:r>
        <w:rPr>
          <w:rFonts w:ascii="Arial" w:cs="Arial" w:eastAsia="Arial" w:hAnsi="Arial"/>
          <w:color w:val="1A1A1A"/>
          <w:sz w:val="22"/>
          <w:szCs w:val="22"/>
        </w:rPr>
        <w:t xml:space="preserve">Secretaría de Salud de Veracruz. (2025). Departamento de Desarrollo del Potencial Humano: Objetivo y estrategias de acción. Subdirección de Enseñanza, Investigación y Capacitación. https://www.ssaver.gob.mx/seic/dph/</w:t>
      </w:r>
    </w:p>
    <w:p>
      <w:pPr>
        <w:spacing w:after="60" w:before="60"/>
        <w:jc w:val="both"/>
      </w:pPr>
      <w:r>
        <w:rPr>
          <w:rFonts w:ascii="Arial" w:cs="Arial" w:eastAsia="Arial" w:hAnsi="Arial"/>
          <w:color w:val="1A1A1A"/>
          <w:sz w:val="22"/>
          <w:szCs w:val="22"/>
        </w:rPr>
        <w:t xml:space="preserve">World Health Organization. (2023). Health workforce: Education and training. WHO. https://www.who.int/health-topics/health-workforce</w:t>
      </w:r>
    </w:p>
    <w:p>
      <w:pPr>
        <w:spacing w:after="60" w:before="60"/>
        <w:jc w:val="both"/>
      </w:pPr>
      <w:r>
        <w:rPr>
          <w:rFonts w:ascii="Arial" w:cs="Arial" w:eastAsia="Arial" w:hAnsi="Arial"/>
          <w:color w:val="1A1A1A"/>
          <w:sz w:val="22"/>
          <w:szCs w:val="22"/>
        </w:rPr>
        <w:t xml:space="preserve">Yukl, G. (2021). Leadership in organizations (9th ed.). Pearson.</w:t>
      </w:r>
    </w:p>
    <w:p>
      <w:pPr>
        <w:spacing w:after="80" w:before="80"/>
      </w:pPr>
      <w:r>
        <w:t xml:space="preserve"/>
      </w:r>
    </w:p>
    <w:p>
      <w:pPr>
        <w:spacing w:after="80" w:before="80"/>
      </w:pPr>
      <w:r>
        <w:t xml:space="preserve"/>
      </w:r>
    </w:p>
    <w:p>
      <w:pPr>
        <w:spacing w:after="120" w:before="120"/>
        <w:jc w:val="center"/>
      </w:pPr>
      <w:r>
        <w:rPr>
          <w:rFonts w:ascii="Arial" w:cs="Arial" w:eastAsia="Arial" w:hAnsi="Arial"/>
          <w:i/>
          <w:iCs/>
          <w:color w:val="4A4A4A"/>
          <w:sz w:val="18"/>
          <w:szCs w:val="18"/>
        </w:rPr>
        <w:t xml:space="preserve">Documento elaborado con fines de formación institucional. Propiedad del Departamento de Desarrollo del Potencial Humano — Subdirección de Enseñanza, Investigación y Capacitación — Servicios de Salud de Veracruz (SESVER).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jc w:val="center"/>
    </w:pPr>
    <w:r>
      <w:rPr>
        <w:rFonts w:ascii="Arial" w:cs="Arial" w:eastAsia="Arial" w:hAnsi="Arial"/>
        <w:color w:val="4A4A4A"/>
        <w:sz w:val="16"/>
        <w:szCs w:val="16"/>
      </w:rPr>
      <w:t xml:space="preserve">Taller: Desarrollo del Potencial Humano en los Servicios de Salud de Veracruz    |    Pág.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jc w:val="center"/>
    </w:pPr>
    <w:r>
      <w:rPr>
        <w:rFonts w:ascii="Arial" w:cs="Arial" w:eastAsia="Arial" w:hAnsi="Arial"/>
        <w:color w:val="1A6B3C"/>
        <w:sz w:val="16"/>
        <w:szCs w:val="16"/>
      </w:rPr>
      <w:t xml:space="preserve">SESVER • Subdirección de Enseñanza, Investigación y Capacitación • Departamento de Desarrollo del Potencial Humano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308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2026-04-08T03:18:37.148Z</dcterms:created>
  <dcterms:modified xsi:type="dcterms:W3CDTF">2026-04-08T03:18:37.149Z</dcterms:modified>
</cp:coreProperties>
</file>

<file path=docProps/custom.xml><?xml version="1.0" encoding="utf-8"?>
<Properties xmlns="http://schemas.openxmlformats.org/officeDocument/2006/custom-properties" xmlns:vt="http://schemas.openxmlformats.org/officeDocument/2006/docPropsVTypes"/>
</file>