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222A" w14:textId="316A939A" w:rsidR="004231E7" w:rsidRPr="00DA2CA1" w:rsidRDefault="004231E7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Proces modelowanie danych</w:t>
      </w:r>
      <w:r w:rsidR="0061011C"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 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– proces tworzenia struktury i organizacji danych w celu zapewnienia skutecznego zarządzania danymi w hurtowni danych. Obejmuje projektowanie schematu danych, definiowanie relacji między tabelami, określanie kluczy głównych i obcych i opracowanie zasad integrowania danych z różnych źródeł.</w:t>
      </w:r>
    </w:p>
    <w:p w14:paraId="70F71E97" w14:textId="77777777" w:rsidR="0061011C" w:rsidRPr="00DA2CA1" w:rsidRDefault="0061011C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</w:p>
    <w:p w14:paraId="5ECB7231" w14:textId="1ADEDF8E" w:rsidR="007D5226" w:rsidRPr="00DA2CA1" w:rsidRDefault="007D5226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Cardinality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– (pojęcie w modelowaniu danych) relacja między dwoma zestawami danych. Określa, jak wiele rekordów z jednego zestawu danych jest powiązanych z rekordami w drugim zestawie danych. Może to być one-to-one, one-to-many lub many-to-many. </w:t>
      </w:r>
    </w:p>
    <w:p w14:paraId="25977024" w14:textId="77777777" w:rsidR="0061011C" w:rsidRPr="00DA2CA1" w:rsidRDefault="0061011C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</w:p>
    <w:p w14:paraId="5D8E58FC" w14:textId="55DFD8C3" w:rsidR="007D5226" w:rsidRPr="00DA2CA1" w:rsidRDefault="007D5226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 xml:space="preserve">Normalizacja i </w:t>
      </w:r>
      <w:r w:rsidR="004231E7"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denormalizacja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– organizacja danych w bazie danych w celu minimalizacji redundancji i unikania anomalii. W celu zmniejszenia się powtarzania się informacji, dane dzieli się na tabele i tworzy się odpowiednie relacje między tymi tabelami. Denormalizacja to proces odwrotny (łączenie tych tabel, zwiększanie redundancji, zwiększanie powtarzalności) służący poprawie wydajności operacji odczytu.</w:t>
      </w:r>
    </w:p>
    <w:p w14:paraId="1208C7B8" w14:textId="77777777" w:rsidR="0061011C" w:rsidRPr="00DA2CA1" w:rsidRDefault="0061011C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</w:p>
    <w:p w14:paraId="482E1C83" w14:textId="72CA925A" w:rsidR="004231E7" w:rsidRPr="00DA2CA1" w:rsidRDefault="004231E7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Co to jest Datamart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– wyspecjalizowana, tematyczna część hurtowni danych. Mniejszy zbiór danych skupiony na konkretnym obszarze biznesowym lub grupie użytkowników. Zawiera szczegółowe, przetworzone dane z hurtowni danych, 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miejące na celu ułatwienie dostępu do informacji i analizy danych</w:t>
      </w:r>
    </w:p>
    <w:p w14:paraId="1BB082BA" w14:textId="77777777" w:rsidR="0061011C" w:rsidRPr="00DA2CA1" w:rsidRDefault="0061011C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</w:p>
    <w:p w14:paraId="7EBB9055" w14:textId="796EFDFE" w:rsidR="008326A6" w:rsidRPr="00DA2CA1" w:rsidRDefault="008326A6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Co to jest Lakehouse i jak różni się od Hurtowni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– Lakehouse to koncepcja łącząca cechy hurtowni danych i 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data lake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. Podejście do przechowywania i przetwarzania danych, które łączy elastyczność i skalowalność 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data lake 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z kontrolą jakości i strukturą hurtowni danych. Umożliwia przechowywanie surowych danych, a jednocześnie zapewnia narzędzia do ich przekształcania, modelowania i analizy w sposób zbliżony do tradycyjnej hurtowni danych. Główne różnice między lakehouse a hurtownią to format przechowywania danych, sposób przetwarzania danych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, </w:t>
      </w:r>
      <w:r w:rsidR="0061011C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elastyczność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</w:t>
      </w:r>
      <w:r w:rsidR="00AF1267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i koszt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.</w:t>
      </w:r>
    </w:p>
    <w:p w14:paraId="672EE944" w14:textId="77777777" w:rsidR="007D5226" w:rsidRPr="00DA2CA1" w:rsidRDefault="007D5226" w:rsidP="00850A79">
      <w:pPr>
        <w:spacing w:after="0" w:line="240" w:lineRule="auto"/>
        <w:textAlignment w:val="baseline"/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</w:pPr>
    </w:p>
    <w:p w14:paraId="53D13605" w14:textId="7DF781D1" w:rsidR="00234F6A" w:rsidRPr="00DA2CA1" w:rsidRDefault="00164C0B">
      <w:pPr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</w:pPr>
      <w:r w:rsidRPr="00DA2CA1">
        <w:rPr>
          <w:rFonts w:ascii="Georgia Pro Light" w:eastAsia="Times New Roman" w:hAnsi="Georgia Pro Light" w:cstheme="minorHAnsi"/>
          <w:b/>
          <w:bCs/>
          <w:sz w:val="24"/>
          <w:szCs w:val="24"/>
          <w:lang w:val="pl-PL" w:eastAsia="en-GB"/>
        </w:rPr>
        <w:t>Kostka OLAP</w:t>
      </w:r>
      <w:r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 xml:space="preserve"> – Online Analytical Processing Cube – wielowymiarowa struktura wykorzystywana w technologii OLAP. Wirtualna reprezentacja danych, która umożliwia analitykom biznesowym przeglądanie, analizowanie i generowanie raportów z dużych zbiorów danych w interaktywny i efektywny sposób. Zbudowana jest z wymiarów i miar. </w:t>
      </w:r>
      <w:r w:rsidR="00DA2CA1" w:rsidRP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Przechowuje dane w sposób przypominający arkusze kalkulacyjne niż bazy d</w:t>
      </w:r>
      <w:r w:rsidR="00DA2CA1">
        <w:rPr>
          <w:rFonts w:ascii="Georgia Pro Light" w:eastAsia="Times New Roman" w:hAnsi="Georgia Pro Light" w:cstheme="minorHAnsi"/>
          <w:sz w:val="24"/>
          <w:szCs w:val="24"/>
          <w:lang w:val="pl-PL" w:eastAsia="en-GB"/>
        </w:rPr>
        <w:t>anych. Zapewniają szybki dostęp do danych. Można podzielić je na fizyczne i wirtualne.</w:t>
      </w:r>
    </w:p>
    <w:sectPr w:rsidR="00234F6A" w:rsidRPr="00DA2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D2379"/>
    <w:rsid w:val="000D2780"/>
    <w:rsid w:val="0010228E"/>
    <w:rsid w:val="00124FEE"/>
    <w:rsid w:val="00127FB4"/>
    <w:rsid w:val="00135706"/>
    <w:rsid w:val="00141CCB"/>
    <w:rsid w:val="00164C0B"/>
    <w:rsid w:val="00165F62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3424"/>
    <w:rsid w:val="003B670C"/>
    <w:rsid w:val="003C3A0B"/>
    <w:rsid w:val="004133B5"/>
    <w:rsid w:val="0041518E"/>
    <w:rsid w:val="004231E7"/>
    <w:rsid w:val="0043032B"/>
    <w:rsid w:val="00457904"/>
    <w:rsid w:val="00474ABA"/>
    <w:rsid w:val="00487B44"/>
    <w:rsid w:val="004964EC"/>
    <w:rsid w:val="004B7152"/>
    <w:rsid w:val="004C0B97"/>
    <w:rsid w:val="004C3912"/>
    <w:rsid w:val="004C42EA"/>
    <w:rsid w:val="004D0092"/>
    <w:rsid w:val="004E3D30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011C"/>
    <w:rsid w:val="00611772"/>
    <w:rsid w:val="00631160"/>
    <w:rsid w:val="00646BE6"/>
    <w:rsid w:val="00676FC2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C5045"/>
    <w:rsid w:val="007D5226"/>
    <w:rsid w:val="007E321D"/>
    <w:rsid w:val="00806F13"/>
    <w:rsid w:val="00831A2B"/>
    <w:rsid w:val="008326A6"/>
    <w:rsid w:val="00850A79"/>
    <w:rsid w:val="00867E3B"/>
    <w:rsid w:val="008703D6"/>
    <w:rsid w:val="008763E6"/>
    <w:rsid w:val="00877ACE"/>
    <w:rsid w:val="00886B98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4830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AF1267"/>
    <w:rsid w:val="00B12FF4"/>
    <w:rsid w:val="00B1342D"/>
    <w:rsid w:val="00B221B9"/>
    <w:rsid w:val="00B37C3B"/>
    <w:rsid w:val="00B439FA"/>
    <w:rsid w:val="00B46815"/>
    <w:rsid w:val="00B50B9B"/>
    <w:rsid w:val="00B56676"/>
    <w:rsid w:val="00B80DBA"/>
    <w:rsid w:val="00B97D3E"/>
    <w:rsid w:val="00BA1F45"/>
    <w:rsid w:val="00BD5AD2"/>
    <w:rsid w:val="00C02227"/>
    <w:rsid w:val="00C515EC"/>
    <w:rsid w:val="00C6163F"/>
    <w:rsid w:val="00C917B3"/>
    <w:rsid w:val="00CC2EF9"/>
    <w:rsid w:val="00CD57A9"/>
    <w:rsid w:val="00CD7F89"/>
    <w:rsid w:val="00CF7FE0"/>
    <w:rsid w:val="00D93FA0"/>
    <w:rsid w:val="00DA2CA1"/>
    <w:rsid w:val="00DA5A59"/>
    <w:rsid w:val="00DF6F00"/>
    <w:rsid w:val="00E07D50"/>
    <w:rsid w:val="00E1659E"/>
    <w:rsid w:val="00E21336"/>
    <w:rsid w:val="00E33C02"/>
    <w:rsid w:val="00E8083C"/>
    <w:rsid w:val="00EA55A8"/>
    <w:rsid w:val="00EC3221"/>
    <w:rsid w:val="00EC3CAE"/>
    <w:rsid w:val="00ED3FDB"/>
    <w:rsid w:val="00F42934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86B2E8-0C3C-495F-93C9-252EFFD74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6C656C-DC3A-49E6-8A7A-E101F33FC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ABF74E-A971-4072-A724-B4FD15EBF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Monika Hertel</cp:lastModifiedBy>
  <cp:revision>12</cp:revision>
  <dcterms:created xsi:type="dcterms:W3CDTF">2022-06-14T05:23:00Z</dcterms:created>
  <dcterms:modified xsi:type="dcterms:W3CDTF">2023-06-26T13:17:00Z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