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45C" w:rsidRDefault="008F354A">
      <w:r>
        <w:t>Prix du sp_e10 : en 2009 le sp_e10 est introduit sur le marché, et représente en moyenne près de 6% des consommations d’essence dès sa première année. Toutefois, nos données de prix de l’e10 ne commencent qu’en 2013. Etant donné la proximité entre le prix de l’e10 et celui du sp95 classique en 2013 et 2014, nous appliquons pour l’e10 les prix du sp95 entre 2009 et 2012 inclus.</w:t>
      </w:r>
    </w:p>
    <w:p w:rsidR="008F354A" w:rsidRDefault="008F354A">
      <w:r>
        <w:t>Part des types de carburants : nos données ne commençant qu’en 2001, nous appliquons pour 2000 les mêmes parts qu’en 2001. De même, les parts de 2011 sont élargies jusqu’en 2015.</w:t>
      </w:r>
      <w:bookmarkStart w:id="0" w:name="_GoBack"/>
      <w:bookmarkEnd w:id="0"/>
    </w:p>
    <w:sectPr w:rsidR="008F3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52"/>
    <w:rsid w:val="001F40E5"/>
    <w:rsid w:val="008F354A"/>
    <w:rsid w:val="00970652"/>
    <w:rsid w:val="00D32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473</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Douenne</dc:creator>
  <cp:keywords/>
  <dc:description/>
  <cp:lastModifiedBy>Thomas Douenne</cp:lastModifiedBy>
  <cp:revision>2</cp:revision>
  <dcterms:created xsi:type="dcterms:W3CDTF">2015-08-17T08:24:00Z</dcterms:created>
  <dcterms:modified xsi:type="dcterms:W3CDTF">2015-08-17T08:28:00Z</dcterms:modified>
</cp:coreProperties>
</file>