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 w:eastAsia="Microsoft YaHei"/>
          <w:b/>
          <w:color w:val="0B2545"/>
          <w:sz w:val="48"/>
        </w:rPr>
        <w:t>M5 粘接螺母剪切拉拔试验细则</w:t>
      </w:r>
    </w:p>
    <w:p>
      <w:pPr>
        <w:pStyle w:val="Subtitle"/>
      </w:pPr>
      <w:r>
        <w:rPr>
          <w:rFonts w:ascii="Calibri" w:hAnsi="Calibri" w:eastAsia="Microsoft YaHei"/>
          <w:b w:val="0"/>
          <w:color w:val="5A6069"/>
          <w:sz w:val="22"/>
        </w:rPr>
        <w:t>验收判定用试行稿 | M5 铝合金粘接螺母 | 复合材料板状样件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5B4400"/>
                <w:sz w:val="21"/>
              </w:rPr>
              <w:t>签发前必须填入 F_design 的具体数值或来源文件编号；未填入时不得作为最终验收结论。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20"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20"/>
              </w:rPr>
              <w:t>内容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文件状态</w:t>
            </w:r>
          </w:p>
        </w:tc>
        <w:tc>
          <w:tcPr>
            <w:tcW w:type="dxa" w:w="71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试行稿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适用目的</w:t>
            </w:r>
          </w:p>
        </w:tc>
        <w:tc>
          <w:tcPr>
            <w:tcW w:type="dxa" w:w="71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验收判定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适用范围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M5 铝合金粘接螺母剪切拉拔试验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默认加载方式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力控制匀速加载，100 N/s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关键待签发输入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>
              <w:rPr>
                <w:rFonts w:ascii="Consolas" w:hAnsi="Consolas" w:eastAsia="Microsoft YaHei"/>
                <w:b/>
                <w:sz w:val="19"/>
              </w:rPr>
              <w:t>F_design = ______ N</w:t>
            </w:r>
            <w:r>
              <w:rPr>
                <w:rFonts w:ascii="Calibri" w:hAnsi="Calibri" w:eastAsia="Microsoft YaHei"/>
                <w:b w:val="0"/>
                <w:sz w:val="19"/>
              </w:rPr>
              <w:t>，</w:t>
            </w:r>
            <w:r>
              <w:rPr>
                <w:rFonts w:ascii="Consolas" w:hAnsi="Consolas" w:eastAsia="Microsoft YaHei"/>
                <w:b/>
                <w:sz w:val="19"/>
              </w:rPr>
              <w:t>F_accept = 1.5 x F_design = ______ N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目的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本细则用于规定 M5 铝合金粘接螺母在复合材料板状样件中的剪切拉拔验收试验方法，获得每件样件的最大拉拔力、力-时间曲线、破坏时间和破坏模式，并依据设计载荷系数完成合格/不合格判定。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范围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本细则仅覆盖 M5 粘接螺母剪切拉拔试验。试验样件为 90 mm x 25 mm x 6 mm 复合材料板状样件，中部粘接安装 M5 铝合金螺母。材料体系包括：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SYT55G/环氧复合材料样件。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M40J/氰酸酯复合材料样件。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本细则不覆盖 M4 粘接螺母上紧力矩承载试验、螺纹扭矩试验、长期疲劳试验或环境老化试验。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依据与优先级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试验依据如下，若后续文件之间存在冲突，按以下顺序执行：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 xml:space="preserve">产品图纸、设计输入或载荷规范中给出的 </w:t>
      </w:r>
      <w:r>
        <w:rPr>
          <w:rFonts w:ascii="Consolas" w:hAnsi="Consolas" w:eastAsia="Microsoft YaHei"/>
          <w:b/>
          <w:sz w:val="22"/>
        </w:rPr>
        <w:t>F_design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被验产品或工艺文件中规定的胶粘剂型号、表面处理和固化制度。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本试验细则。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试验设备操作规程和实验室质量体系要求。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 xml:space="preserve">签发前必须填入 </w:t>
      </w:r>
      <w:r>
        <w:rPr>
          <w:rFonts w:ascii="Consolas" w:hAnsi="Consolas" w:eastAsia="Microsoft YaHei"/>
          <w:b/>
          <w:sz w:val="22"/>
        </w:rPr>
        <w:t>F_design</w:t>
      </w:r>
      <w:r>
        <w:rPr>
          <w:rFonts w:ascii="Calibri" w:hAnsi="Calibri" w:eastAsia="Microsoft YaHei"/>
          <w:b w:val="0"/>
          <w:sz w:val="22"/>
        </w:rPr>
        <w:t xml:space="preserve"> 的具体数值或来源文件编号；未填入时，试验可用于摸底记录，但不得作为最终验收结论。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术语与符号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20"/>
              </w:rPr>
              <w:t>符号/代码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20"/>
              </w:rPr>
              <w:t>含义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onsolas" w:hAnsi="Consolas" w:eastAsia="Microsoft YaHei"/>
                <w:b/>
                <w:color w:val="1F4D78"/>
                <w:sz w:val="20"/>
              </w:rPr>
              <w:t>F_design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产品图纸、设计输入或载荷规范给出的设计使用载荷，单位 N。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onsolas" w:hAnsi="Consolas" w:eastAsia="Microsoft YaHei"/>
                <w:b/>
                <w:color w:val="1F4D78"/>
                <w:sz w:val="20"/>
              </w:rPr>
              <w:t>F_accept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 xml:space="preserve">验收阈值，默认 </w:t>
            </w:r>
            <w:r>
              <w:rPr>
                <w:rFonts w:ascii="Consolas" w:hAnsi="Consolas" w:eastAsia="Microsoft YaHei"/>
                <w:b/>
                <w:sz w:val="19"/>
              </w:rPr>
              <w:t>F_accept = 1.5 x F_design</w:t>
            </w:r>
            <w:r>
              <w:rPr>
                <w:rFonts w:ascii="Calibri" w:hAnsi="Calibri" w:eastAsia="Microsoft YaHei"/>
                <w:b w:val="0"/>
                <w:sz w:val="19"/>
              </w:rPr>
              <w:t>，单位 N。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onsolas" w:hAnsi="Consolas" w:eastAsia="Microsoft YaHei"/>
                <w:b/>
                <w:color w:val="1F4D78"/>
                <w:sz w:val="20"/>
              </w:rPr>
              <w:t>Fmax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试验过程中记录到的最大拉拔力，单位 N。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AD</w:t>
            </w:r>
          </w:p>
        </w:tc>
        <w:tc>
          <w:tcPr>
            <w:tcW w:type="dxa" w:w="71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粘接界面脱开。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CO</w:t>
            </w:r>
          </w:p>
        </w:tc>
        <w:tc>
          <w:tcPr>
            <w:tcW w:type="dxa" w:w="71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胶层内聚破坏。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SUB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基材开裂、分层或压溃。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NUT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螺母、螺纹或金属接头损伤。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FIX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夹具滑移、装夹失效、加载偏斜或其他装夹无效。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样件要求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5.1 样件尺寸与结构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样件名义尺寸为 90 mm x 25 mm x 6 mm。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M5 铝合金螺母应粘接安装在样件中部。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样件两端按图示方向标识为 A 端和 B 端。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每件样件试验前应记录长度、宽度、厚度实测值；尺寸明显偏离制样要求或存在边缘破损、分层、污染的样件不得作为有效样。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5.2 分组与数量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200"/>
        <w:gridCol w:w="2850"/>
        <w:gridCol w:w="1800"/>
        <w:gridCol w:w="1550"/>
        <w:gridCol w:w="1960"/>
      </w:tblGrid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20"/>
              </w:rPr>
              <w:t>组别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20"/>
              </w:rPr>
              <w:t>材料体系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20"/>
              </w:rPr>
              <w:t>螺母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20"/>
              </w:rPr>
              <w:t>有效样数量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20"/>
              </w:rPr>
              <w:t>建议样件编号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G1</w:t>
            </w:r>
          </w:p>
        </w:tc>
        <w:tc>
          <w:tcPr>
            <w:tcW w:type="dxa" w:w="285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SYT55G/环氧复合材料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M5 铝合金螺母</w:t>
            </w:r>
          </w:p>
        </w:tc>
        <w:tc>
          <w:tcPr>
            <w:tcW w:type="dxa" w:w="15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3 件</w:t>
            </w:r>
          </w:p>
        </w:tc>
        <w:tc>
          <w:tcPr>
            <w:tcW w:type="dxa" w:w="19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SYT55G-M5-01 至 SYT55G-M5-03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G2</w:t>
            </w:r>
          </w:p>
        </w:tc>
        <w:tc>
          <w:tcPr>
            <w:tcW w:type="dxa" w:w="285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M40J/氰酸酯复合材料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M5 铝合金螺母</w:t>
            </w:r>
          </w:p>
        </w:tc>
        <w:tc>
          <w:tcPr>
            <w:tcW w:type="dxa" w:w="155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3 件</w:t>
            </w:r>
          </w:p>
        </w:tc>
        <w:tc>
          <w:tcPr>
            <w:tcW w:type="dxa" w:w="19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M40J-M5-01 至 M40J-M5-03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每组至少获得 3 件有效样数据。无效样不得计入 3 件有效样数量。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5.3 制样与粘接记录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每批样件应至少记录以下信息：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复合材料批次、铺层/成型批次或样件来源。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M5 铝合金螺母批次、规格和外观状态。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胶粘剂型号、批次、配比和适用期。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粘接面表面处理方式、清洁介质和处理后等待时间。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固化温度、固化时间、加压方式和固化后放置时间。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粘接位置检查结果和 A/B 端标识照片。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若被验工艺文件已规定胶粘剂、表面处理和固化制度，应按该工艺文件执行，并在记录表中填写文件编号。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设备与夹具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6.1 试验设备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使用万能试验机或等效拉力设备进行试验。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载荷测量精度不低于 1 级，设备应在有效校准期内。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 xml:space="preserve">预计 </w:t>
      </w:r>
      <w:r>
        <w:rPr>
          <w:rFonts w:ascii="Consolas" w:hAnsi="Consolas" w:eastAsia="Microsoft YaHei"/>
          <w:b/>
          <w:sz w:val="22"/>
        </w:rPr>
        <w:t>Fmax</w:t>
      </w:r>
      <w:r>
        <w:rPr>
          <w:rFonts w:ascii="Calibri" w:hAnsi="Calibri" w:eastAsia="Microsoft YaHei"/>
          <w:b w:val="0"/>
          <w:sz w:val="22"/>
        </w:rPr>
        <w:t xml:space="preserve"> 应落在载荷传感器满量程的 10%-90% 范围内。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设备应能输出完整力-时间曲线，建议采样频率不低于 20 Hz。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若设备支持位移或横梁行程记录，应同步保存位移/时间数据作为辅助分析项。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6.2 夹具与加载连接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夹具应同时固定样件 A 端及 B 端，使样件板面保持稳定，避免试验过程中发生端部滑移、翘曲或偏载。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拉拔连接件应与 M5 螺母可靠啮合，加载过程中不得顶碰样件板面、胶层或螺母外缘。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力 F 的方向按原理图所示垂直于样件板面向外拉拔。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力 F 到样件板面的距离目标值为 5 mm，建议装夹允许偏差为 ±0.5 mm，并在试验前记录确认值。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夹具与拉杆应在试验前空载检查同轴性；肉眼可见偏斜或连接松动时不得开始正式试验。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环境条件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建议默认试验环境为 23±2 ℃、50±10%RH。样件正式试验前应在该环境下放置不少于 24 h。若产品规范或环境适应性要求另有规定，应按上位文件执行，并在报告中说明。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试验步骤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8.1 试验前确认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核对试验任务单、样件编号、材料体系、螺母规格和有效样数量。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检查样件外观，记录粘接区、螺母、A/B 端和边缘状态。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测量并记录样件长度、宽度、厚度，以及螺母居中情况。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确认设备校准状态、传感器量程、夹具编号和数据采集设置。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 xml:space="preserve">填入 </w:t>
      </w:r>
      <w:r>
        <w:rPr>
          <w:rFonts w:ascii="Consolas" w:hAnsi="Consolas" w:eastAsia="Microsoft YaHei"/>
          <w:b/>
          <w:sz w:val="22"/>
        </w:rPr>
        <w:t>F_design</w:t>
      </w:r>
      <w:r>
        <w:rPr>
          <w:rFonts w:ascii="Calibri" w:hAnsi="Calibri" w:eastAsia="Microsoft YaHei"/>
          <w:b w:val="0"/>
          <w:sz w:val="22"/>
        </w:rPr>
        <w:t xml:space="preserve"> 和 </w:t>
      </w:r>
      <w:r>
        <w:rPr>
          <w:rFonts w:ascii="Consolas" w:hAnsi="Consolas" w:eastAsia="Microsoft YaHei"/>
          <w:b/>
          <w:sz w:val="22"/>
        </w:rPr>
        <w:t>F_accept</w:t>
      </w:r>
      <w:r>
        <w:rPr>
          <w:rFonts w:ascii="Calibri" w:hAnsi="Calibri" w:eastAsia="Microsoft YaHei"/>
          <w:b w:val="0"/>
          <w:sz w:val="22"/>
        </w:rPr>
        <w:t>；未填入时不得签发验收结论。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8.2 装夹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将样件 A 端和 B 端固定在夹具上，保证样件板面平直。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将拉拔连接件与 M5 螺母连接，确认螺纹啮合可靠。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调整加载轴线，使力 F 按图示方向施加，并确认 F 到样件板面的距离为 5 mm。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记录装夹照片，照片应能识别样件编号、A/B 端和加载方向。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8.3 预加载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 xml:space="preserve">以低载方式预加载至 20 N 或 </w:t>
      </w:r>
      <w:r>
        <w:rPr>
          <w:rFonts w:ascii="Consolas" w:hAnsi="Consolas" w:eastAsia="Microsoft YaHei"/>
          <w:b/>
          <w:sz w:val="22"/>
        </w:rPr>
        <w:t>0.02 x F_accept</w:t>
      </w:r>
      <w:r>
        <w:rPr>
          <w:rFonts w:ascii="Calibri" w:hAnsi="Calibri" w:eastAsia="Microsoft YaHei"/>
          <w:b w:val="0"/>
          <w:sz w:val="22"/>
        </w:rPr>
        <w:t xml:space="preserve">，取较大值；当 </w:t>
      </w:r>
      <w:r>
        <w:rPr>
          <w:rFonts w:ascii="Consolas" w:hAnsi="Consolas" w:eastAsia="Microsoft YaHei"/>
          <w:b/>
          <w:sz w:val="22"/>
        </w:rPr>
        <w:t>F_accept</w:t>
      </w:r>
      <w:r>
        <w:rPr>
          <w:rFonts w:ascii="Calibri" w:hAnsi="Calibri" w:eastAsia="Microsoft YaHei"/>
          <w:b w:val="0"/>
          <w:sz w:val="22"/>
        </w:rPr>
        <w:t xml:space="preserve"> 未填入时，按 20 N 执行预加载。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保载 5 s，检查夹具滑移、拉杆偏斜、样件异常声响或可见裂纹。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若出现异常，应卸载、重新装夹并重新预加载；仍异常时，该样件不得进入正式试验。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8.4 正式加载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载荷清零后启动数据采集。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按力控制匀速加载，加载速率为 100 N/s，建议允许偏差为 ±10%。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连续加载至出现明显破坏、载荷下降至峰值后 20% 以下，或达到设备/安全停止条件。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试验过程中观察并记录可见变形、裂纹、胶层脱开、螺母松动和异常声响。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试验结束后保存原始数据文件、力-时间曲线和破坏照片。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数据记录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每件样件至少记录以下字段：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20"/>
              </w:rPr>
              <w:t>字段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20"/>
              </w:rPr>
              <w:t>记录要求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样件编号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与样件实体标识一致。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材料体系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SYT55G/环氧或 M40J/氰酸酯。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尺寸实测值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长度、宽度、厚度，单位 mm。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螺母批次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记录规格、批次或供应信息。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粘接记录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胶粘剂、表面处理、固化制度和工艺文件编号。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环境条件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温度、湿度、放置时间。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设备与夹具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设备编号、传感器量程、夹具编号。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加载条件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加载方式、加载速率、F 到板面距离。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判定载荷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>
              <w:rPr>
                <w:rFonts w:ascii="Consolas" w:hAnsi="Consolas" w:eastAsia="Microsoft YaHei"/>
                <w:b/>
                <w:sz w:val="19"/>
              </w:rPr>
              <w:t>F_design</w:t>
            </w:r>
            <w:r>
              <w:rPr>
                <w:rFonts w:ascii="Calibri" w:hAnsi="Calibri" w:eastAsia="Microsoft YaHei"/>
                <w:b w:val="0"/>
                <w:sz w:val="19"/>
              </w:rPr>
              <w:t>、</w:t>
            </w:r>
            <w:r>
              <w:rPr>
                <w:rFonts w:ascii="Consolas" w:hAnsi="Consolas" w:eastAsia="Microsoft YaHei"/>
                <w:b/>
                <w:sz w:val="19"/>
              </w:rPr>
              <w:t>F_accept</w:t>
            </w:r>
            <w:r>
              <w:rPr>
                <w:rFonts w:ascii="Calibri" w:hAnsi="Calibri" w:eastAsia="Microsoft YaHei"/>
                <w:b w:val="0"/>
                <w:sz w:val="19"/>
              </w:rPr>
              <w:t>。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结果数据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>
              <w:rPr>
                <w:rFonts w:ascii="Consolas" w:hAnsi="Consolas" w:eastAsia="Microsoft YaHei"/>
                <w:b/>
                <w:sz w:val="19"/>
              </w:rPr>
              <w:t>Fmax</w:t>
            </w:r>
            <w:r>
              <w:rPr>
                <w:rFonts w:ascii="Calibri" w:hAnsi="Calibri" w:eastAsia="Microsoft YaHei"/>
                <w:b w:val="0"/>
                <w:sz w:val="19"/>
              </w:rPr>
              <w:t>、破坏时间、曲线文件名。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破坏记录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破坏照片、破坏模式代码、文字说明。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最终判定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合格、不合格或无效样。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验收判定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10.1 单件判定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单件样件同时满足以下条件时判为合格：</w:t>
      </w:r>
    </w:p>
    <w:p>
      <w:pPr>
        <w:pStyle w:val="ListNumber"/>
      </w:pPr>
      <w:r>
        <w:rPr>
          <w:rFonts w:ascii="Consolas" w:hAnsi="Consolas" w:eastAsia="Microsoft YaHei"/>
          <w:b/>
          <w:sz w:val="22"/>
        </w:rPr>
        <w:t>Fmax &gt;= F_accept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 xml:space="preserve">在达到 </w:t>
      </w:r>
      <w:r>
        <w:rPr>
          <w:rFonts w:ascii="Consolas" w:hAnsi="Consolas" w:eastAsia="Microsoft YaHei"/>
          <w:b/>
          <w:sz w:val="22"/>
        </w:rPr>
        <w:t>F_accept</w:t>
      </w:r>
      <w:r>
        <w:rPr>
          <w:rFonts w:ascii="Calibri" w:hAnsi="Calibri" w:eastAsia="Microsoft YaHei"/>
          <w:b w:val="0"/>
          <w:sz w:val="22"/>
        </w:rPr>
        <w:t xml:space="preserve"> 前未发生 AD、SUB、NUT 或 FIX 类失效。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力-时间曲线完整，峰值和破坏时间可追溯。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装夹、加载方向和 F 到板面距离记录有效。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出现以下任一情况时，单件样件判为不合格：</w:t>
      </w:r>
    </w:p>
    <w:p>
      <w:pPr>
        <w:pStyle w:val="ListNumber"/>
      </w:pPr>
      <w:r>
        <w:rPr>
          <w:rFonts w:ascii="Consolas" w:hAnsi="Consolas" w:eastAsia="Microsoft YaHei"/>
          <w:b/>
          <w:sz w:val="22"/>
        </w:rPr>
        <w:t>Fmax &lt; F_accept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 xml:space="preserve">低于 </w:t>
      </w:r>
      <w:r>
        <w:rPr>
          <w:rFonts w:ascii="Consolas" w:hAnsi="Consolas" w:eastAsia="Microsoft YaHei"/>
          <w:b/>
          <w:sz w:val="22"/>
        </w:rPr>
        <w:t>F_accept</w:t>
      </w:r>
      <w:r>
        <w:rPr>
          <w:rFonts w:ascii="Calibri" w:hAnsi="Calibri" w:eastAsia="Microsoft YaHei"/>
          <w:b w:val="0"/>
          <w:sz w:val="22"/>
        </w:rPr>
        <w:t xml:space="preserve"> 前发生粘接界面脱开、螺母松动、基材异常开裂/分层或螺母/螺纹损伤。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 xml:space="preserve">达到 </w:t>
      </w:r>
      <w:r>
        <w:rPr>
          <w:rFonts w:ascii="Consolas" w:hAnsi="Consolas" w:eastAsia="Microsoft YaHei"/>
          <w:b/>
          <w:sz w:val="22"/>
        </w:rPr>
        <w:t>F_accept</w:t>
      </w:r>
      <w:r>
        <w:rPr>
          <w:rFonts w:ascii="Calibri" w:hAnsi="Calibri" w:eastAsia="Microsoft YaHei"/>
          <w:b w:val="0"/>
          <w:sz w:val="22"/>
        </w:rPr>
        <w:t xml:space="preserve"> 前出现非预期快速失稳，且经复核不是装夹无效导致。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10.2 组别判定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每个材料体系组别应有 3 件有效样。3 件有效样均合格时，该组判为合格；任一有效样不合格时，该组判为不合格。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 xml:space="preserve">组别报告应同时给出 3 件有效样的 </w:t>
      </w:r>
      <w:r>
        <w:rPr>
          <w:rFonts w:ascii="Consolas" w:hAnsi="Consolas" w:eastAsia="Microsoft YaHei"/>
          <w:b/>
          <w:sz w:val="22"/>
        </w:rPr>
        <w:t>Fmax</w:t>
      </w:r>
      <w:r>
        <w:rPr>
          <w:rFonts w:ascii="Calibri" w:hAnsi="Calibri" w:eastAsia="Microsoft YaHei"/>
          <w:b w:val="0"/>
          <w:sz w:val="22"/>
        </w:rPr>
        <w:t>、平均值、最小值、变异系数和破坏模式分布。变异系数仅用于过程稳定性评估，不作为默认合格判据；如上位规范另有要求，应按上位规范执行。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11. 无效样与复验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以下情况判为无效样，可补做 1 件，并在报告中说明原因：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夹具滑移、拉杆松脱、加载轴线明显偏斜。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数据采集失败、曲线中断、峰值缺失或文件损坏。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样件编号、材料体系、粘接记录无法追溯。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试验前已存在影响结果的明显制样缺陷，且该缺陷未被纳入验收对象。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以下情况不得按无效样处理，应作为不合格结果保留：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 xml:space="preserve">有效装夹条件下 </w:t>
      </w:r>
      <w:r>
        <w:rPr>
          <w:rFonts w:ascii="Consolas" w:hAnsi="Consolas" w:eastAsia="Microsoft YaHei"/>
          <w:b/>
          <w:sz w:val="22"/>
        </w:rPr>
        <w:t>Fmax &lt; F_accept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 xml:space="preserve">达到 </w:t>
      </w:r>
      <w:r>
        <w:rPr>
          <w:rFonts w:ascii="Consolas" w:hAnsi="Consolas" w:eastAsia="Microsoft YaHei"/>
          <w:b/>
          <w:sz w:val="22"/>
        </w:rPr>
        <w:t>F_accept</w:t>
      </w:r>
      <w:r>
        <w:rPr>
          <w:rFonts w:ascii="Calibri" w:hAnsi="Calibri" w:eastAsia="Microsoft YaHei"/>
          <w:b w:val="0"/>
          <w:sz w:val="22"/>
        </w:rPr>
        <w:t xml:space="preserve"> 前发生 AD、SUB、NUT 类失效。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同组样件出现重复的低载失效模式，表明工艺或结构存在系统性问题。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12. 报告要求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试验报告至少包括：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试验目的、样件来源、材料体系、螺母规格和试验日期。</w:t>
      </w:r>
    </w:p>
    <w:p>
      <w:pPr>
        <w:pStyle w:val="ListNumber"/>
      </w:pPr>
      <w:r>
        <w:rPr>
          <w:rFonts w:ascii="Consolas" w:hAnsi="Consolas" w:eastAsia="Microsoft YaHei"/>
          <w:b/>
          <w:sz w:val="22"/>
        </w:rPr>
        <w:t>F_design</w:t>
      </w:r>
      <w:r>
        <w:rPr>
          <w:rFonts w:ascii="Calibri" w:hAnsi="Calibri" w:eastAsia="Microsoft YaHei"/>
          <w:b w:val="0"/>
          <w:sz w:val="22"/>
        </w:rPr>
        <w:t xml:space="preserve"> 来源、</w:t>
      </w:r>
      <w:r>
        <w:rPr>
          <w:rFonts w:ascii="Consolas" w:hAnsi="Consolas" w:eastAsia="Microsoft YaHei"/>
          <w:b/>
          <w:sz w:val="22"/>
        </w:rPr>
        <w:t>F_accept</w:t>
      </w:r>
      <w:r>
        <w:rPr>
          <w:rFonts w:ascii="Calibri" w:hAnsi="Calibri" w:eastAsia="Microsoft YaHei"/>
          <w:b w:val="0"/>
          <w:sz w:val="22"/>
        </w:rPr>
        <w:t xml:space="preserve"> 计算过程和验收判据。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样件制备、粘接工艺、表面处理和固化记录。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设备、夹具、传感器量程、校准状态和环境条件。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每件样件的原始数据摘要、力-时间曲线、破坏照片和破坏模式。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每组统计结果：平均值、最小值、变异系数、破坏模式分布。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单件和组别判定结论。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异常、无效样、复验和偏离本细则的说明。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13. 安全与质量控制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试验区域应设置防护罩或等效防护，防止螺母、拉杆或基材碎片飞出。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操作人员不得在加载轴线正前方观察。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试验机限位、急停、传感器量程和夹具紧固状态应在试验前确认。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原始数据文件、照片和记录表应随报告归档，不得只保留人工摘录结果。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任何偏离本细则的操作，应在报告中记录偏离内容、原因和批准人。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 A 试验记录表</w:t>
      </w:r>
    </w:p>
    <w:tbl>
      <w:tblPr>
        <w:tblStyle w:val="TableGrid"/>
        <w:tblW w:type="dxa" w:w="1224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000"/>
        <w:gridCol w:w="9240"/>
      </w:tblGrid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20"/>
              </w:rPr>
              <w:t>项目</w:t>
            </w:r>
          </w:p>
        </w:tc>
        <w:tc>
          <w:tcPr>
            <w:tcW w:type="dxa" w:w="9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20"/>
              </w:rPr>
              <w:t>记录</w:t>
            </w:r>
          </w:p>
        </w:tc>
      </w:tr>
      <w:tr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试验任务编号</w:t>
            </w:r>
          </w:p>
        </w:tc>
        <w:tc>
          <w:tcPr>
            <w:tcW w:type="dxa" w:w="924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试验日期</w:t>
            </w:r>
          </w:p>
        </w:tc>
        <w:tc>
          <w:tcPr>
            <w:tcW w:type="dxa" w:w="924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试验人员</w:t>
            </w:r>
          </w:p>
        </w:tc>
        <w:tc>
          <w:tcPr>
            <w:tcW w:type="dxa" w:w="924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复核人员</w:t>
            </w:r>
          </w:p>
        </w:tc>
        <w:tc>
          <w:tcPr>
            <w:tcW w:type="dxa" w:w="924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onsolas" w:hAnsi="Consolas" w:eastAsia="Microsoft YaHei"/>
                <w:b/>
                <w:color w:val="1F4D78"/>
                <w:sz w:val="20"/>
              </w:rPr>
              <w:t>F_design</w:t>
            </w:r>
            <w:r>
              <w:rPr>
                <w:rFonts w:ascii="Calibri" w:hAnsi="Calibri" w:eastAsia="Microsoft YaHei"/>
                <w:b/>
                <w:color w:val="1F4D78"/>
                <w:sz w:val="20"/>
              </w:rPr>
              <w:t xml:space="preserve"> 来源</w:t>
            </w:r>
          </w:p>
        </w:tc>
        <w:tc>
          <w:tcPr>
            <w:tcW w:type="dxa" w:w="924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onsolas" w:hAnsi="Consolas" w:eastAsia="Microsoft YaHei"/>
                <w:b/>
                <w:color w:val="1F4D78"/>
                <w:sz w:val="20"/>
              </w:rPr>
              <w:t>F_design</w:t>
            </w:r>
            <w:r>
              <w:rPr>
                <w:rFonts w:ascii="Calibri" w:hAnsi="Calibri" w:eastAsia="Microsoft YaHei"/>
                <w:b/>
                <w:color w:val="1F4D78"/>
                <w:sz w:val="20"/>
              </w:rPr>
              <w:t xml:space="preserve"> / N</w:t>
            </w:r>
          </w:p>
        </w:tc>
        <w:tc>
          <w:tcPr>
            <w:tcW w:type="dxa" w:w="924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onsolas" w:hAnsi="Consolas" w:eastAsia="Microsoft YaHei"/>
                <w:b/>
                <w:color w:val="1F4D78"/>
                <w:sz w:val="20"/>
              </w:rPr>
              <w:t>F_accept</w:t>
            </w:r>
            <w:r>
              <w:rPr>
                <w:rFonts w:ascii="Calibri" w:hAnsi="Calibri" w:eastAsia="Microsoft YaHei"/>
                <w:b/>
                <w:color w:val="1F4D78"/>
                <w:sz w:val="20"/>
              </w:rPr>
              <w:t xml:space="preserve"> / N</w:t>
            </w:r>
          </w:p>
        </w:tc>
        <w:tc>
          <w:tcPr>
            <w:tcW w:type="dxa" w:w="924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设备编号</w:t>
            </w:r>
          </w:p>
        </w:tc>
        <w:tc>
          <w:tcPr>
            <w:tcW w:type="dxa" w:w="924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载荷传感器量程</w:t>
            </w:r>
          </w:p>
        </w:tc>
        <w:tc>
          <w:tcPr>
            <w:tcW w:type="dxa" w:w="924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夹具编号</w:t>
            </w:r>
          </w:p>
        </w:tc>
        <w:tc>
          <w:tcPr>
            <w:tcW w:type="dxa" w:w="924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环境温度 / ℃</w:t>
            </w:r>
          </w:p>
        </w:tc>
        <w:tc>
          <w:tcPr>
            <w:tcW w:type="dxa" w:w="924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环境湿度 / %RH</w:t>
            </w:r>
          </w:p>
        </w:tc>
        <w:tc>
          <w:tcPr>
            <w:tcW w:type="dxa" w:w="924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加载速率 / N/s</w:t>
            </w:r>
          </w:p>
        </w:tc>
        <w:tc>
          <w:tcPr>
            <w:tcW w:type="dxa" w:w="924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100</w:t>
            </w:r>
          </w:p>
        </w:tc>
      </w:tr>
      <w:tr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F 到板面距离 / mm</w:t>
            </w:r>
          </w:p>
        </w:tc>
        <w:tc>
          <w:tcPr>
            <w:tcW w:type="dxa" w:w="924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5</w:t>
            </w:r>
          </w:p>
        </w:tc>
      </w:tr>
    </w:tbl>
    <w:p>
      <w:pPr>
        <w:spacing w:after="80"/>
      </w:pPr>
    </w:p>
    <w:tbl>
      <w:tblPr>
        <w:tblStyle w:val="TableGrid"/>
        <w:tblW w:type="dxa" w:w="1224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250"/>
        <w:gridCol w:w="1500"/>
        <w:gridCol w:w="1400"/>
        <w:gridCol w:w="1200"/>
        <w:gridCol w:w="1900"/>
        <w:gridCol w:w="900"/>
        <w:gridCol w:w="900"/>
        <w:gridCol w:w="1400"/>
        <w:gridCol w:w="1000"/>
        <w:gridCol w:w="790"/>
      </w:tblGrid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样件编号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材料体系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长 x 宽 x 厚 / mm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螺母批次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胶粘剂/固化记录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b/>
                <w:color w:val="1F3A5F"/>
                <w:sz w:val="18"/>
              </w:rPr>
              <w:t>Fmax</w:t>
            </w:r>
            <w:r>
              <w:rPr>
                <w:rFonts w:ascii="Calibri" w:hAnsi="Calibri" w:eastAsia="Microsoft YaHei"/>
                <w:b/>
                <w:color w:val="1F3A5F"/>
                <w:sz w:val="18"/>
              </w:rPr>
              <w:t xml:space="preserve"> / 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破坏时间 / 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曲线文件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破坏模式</w:t>
            </w:r>
          </w:p>
        </w:tc>
        <w:tc>
          <w:tcPr>
            <w:tcW w:type="dxa" w:w="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18"/>
              </w:rPr>
              <w:t>判定</w:t>
            </w:r>
          </w:p>
        </w:tc>
      </w:tr>
      <w:tr>
        <w:tc>
          <w:tcPr>
            <w:tcW w:type="dxa" w:w="1250"/>
          </w:tcPr>
          <w:p>
            <w:pPr>
              <w:spacing w:after="0"/>
              <w:jc w:val="left"/>
            </w:pPr>
          </w:p>
        </w:tc>
        <w:tc>
          <w:tcPr>
            <w:tcW w:type="dxa" w:w="1500"/>
          </w:tcPr>
          <w:p>
            <w:pPr>
              <w:spacing w:after="0"/>
              <w:jc w:val="left"/>
            </w:pPr>
          </w:p>
        </w:tc>
        <w:tc>
          <w:tcPr>
            <w:tcW w:type="dxa" w:w="1400"/>
          </w:tcPr>
          <w:p>
            <w:pPr>
              <w:spacing w:after="0"/>
              <w:jc w:val="left"/>
            </w:pPr>
          </w:p>
        </w:tc>
        <w:tc>
          <w:tcPr>
            <w:tcW w:type="dxa" w:w="1200"/>
          </w:tcPr>
          <w:p>
            <w:pPr>
              <w:spacing w:after="0"/>
              <w:jc w:val="left"/>
            </w:pPr>
          </w:p>
        </w:tc>
        <w:tc>
          <w:tcPr>
            <w:tcW w:type="dxa" w:w="1900"/>
          </w:tcPr>
          <w:p>
            <w:pPr>
              <w:spacing w:after="0"/>
              <w:jc w:val="left"/>
            </w:pPr>
          </w:p>
        </w:tc>
        <w:tc>
          <w:tcPr>
            <w:tcW w:type="dxa" w:w="900"/>
          </w:tcPr>
          <w:p>
            <w:pPr>
              <w:spacing w:after="0"/>
              <w:jc w:val="center"/>
            </w:pPr>
          </w:p>
        </w:tc>
        <w:tc>
          <w:tcPr>
            <w:tcW w:type="dxa" w:w="900"/>
          </w:tcPr>
          <w:p>
            <w:pPr>
              <w:spacing w:after="0"/>
              <w:jc w:val="center"/>
            </w:pPr>
          </w:p>
        </w:tc>
        <w:tc>
          <w:tcPr>
            <w:tcW w:type="dxa" w:w="1400"/>
          </w:tcPr>
          <w:p>
            <w:pPr>
              <w:spacing w:after="0"/>
              <w:jc w:val="left"/>
            </w:pPr>
          </w:p>
        </w:tc>
        <w:tc>
          <w:tcPr>
            <w:tcW w:type="dxa" w:w="1000"/>
          </w:tcPr>
          <w:p>
            <w:pPr>
              <w:spacing w:after="0"/>
              <w:jc w:val="center"/>
            </w:pPr>
          </w:p>
        </w:tc>
        <w:tc>
          <w:tcPr>
            <w:tcW w:type="dxa" w:w="79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1250"/>
          </w:tcPr>
          <w:p>
            <w:pPr>
              <w:spacing w:after="0"/>
              <w:jc w:val="left"/>
            </w:pPr>
          </w:p>
        </w:tc>
        <w:tc>
          <w:tcPr>
            <w:tcW w:type="dxa" w:w="1500"/>
          </w:tcPr>
          <w:p>
            <w:pPr>
              <w:spacing w:after="0"/>
              <w:jc w:val="left"/>
            </w:pPr>
          </w:p>
        </w:tc>
        <w:tc>
          <w:tcPr>
            <w:tcW w:type="dxa" w:w="1400"/>
          </w:tcPr>
          <w:p>
            <w:pPr>
              <w:spacing w:after="0"/>
              <w:jc w:val="left"/>
            </w:pPr>
          </w:p>
        </w:tc>
        <w:tc>
          <w:tcPr>
            <w:tcW w:type="dxa" w:w="1200"/>
          </w:tcPr>
          <w:p>
            <w:pPr>
              <w:spacing w:after="0"/>
              <w:jc w:val="left"/>
            </w:pPr>
          </w:p>
        </w:tc>
        <w:tc>
          <w:tcPr>
            <w:tcW w:type="dxa" w:w="1900"/>
          </w:tcPr>
          <w:p>
            <w:pPr>
              <w:spacing w:after="0"/>
              <w:jc w:val="left"/>
            </w:pPr>
          </w:p>
        </w:tc>
        <w:tc>
          <w:tcPr>
            <w:tcW w:type="dxa" w:w="900"/>
          </w:tcPr>
          <w:p>
            <w:pPr>
              <w:spacing w:after="0"/>
              <w:jc w:val="center"/>
            </w:pPr>
          </w:p>
        </w:tc>
        <w:tc>
          <w:tcPr>
            <w:tcW w:type="dxa" w:w="900"/>
          </w:tcPr>
          <w:p>
            <w:pPr>
              <w:spacing w:after="0"/>
              <w:jc w:val="center"/>
            </w:pPr>
          </w:p>
        </w:tc>
        <w:tc>
          <w:tcPr>
            <w:tcW w:type="dxa" w:w="1400"/>
          </w:tcPr>
          <w:p>
            <w:pPr>
              <w:spacing w:after="0"/>
              <w:jc w:val="left"/>
            </w:pPr>
          </w:p>
        </w:tc>
        <w:tc>
          <w:tcPr>
            <w:tcW w:type="dxa" w:w="1000"/>
          </w:tcPr>
          <w:p>
            <w:pPr>
              <w:spacing w:after="0"/>
              <w:jc w:val="center"/>
            </w:pPr>
          </w:p>
        </w:tc>
        <w:tc>
          <w:tcPr>
            <w:tcW w:type="dxa" w:w="79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1250"/>
          </w:tcPr>
          <w:p>
            <w:pPr>
              <w:spacing w:after="0"/>
              <w:jc w:val="left"/>
            </w:pPr>
          </w:p>
        </w:tc>
        <w:tc>
          <w:tcPr>
            <w:tcW w:type="dxa" w:w="1500"/>
          </w:tcPr>
          <w:p>
            <w:pPr>
              <w:spacing w:after="0"/>
              <w:jc w:val="left"/>
            </w:pPr>
          </w:p>
        </w:tc>
        <w:tc>
          <w:tcPr>
            <w:tcW w:type="dxa" w:w="1400"/>
          </w:tcPr>
          <w:p>
            <w:pPr>
              <w:spacing w:after="0"/>
              <w:jc w:val="left"/>
            </w:pPr>
          </w:p>
        </w:tc>
        <w:tc>
          <w:tcPr>
            <w:tcW w:type="dxa" w:w="1200"/>
          </w:tcPr>
          <w:p>
            <w:pPr>
              <w:spacing w:after="0"/>
              <w:jc w:val="left"/>
            </w:pPr>
          </w:p>
        </w:tc>
        <w:tc>
          <w:tcPr>
            <w:tcW w:type="dxa" w:w="1900"/>
          </w:tcPr>
          <w:p>
            <w:pPr>
              <w:spacing w:after="0"/>
              <w:jc w:val="left"/>
            </w:pPr>
          </w:p>
        </w:tc>
        <w:tc>
          <w:tcPr>
            <w:tcW w:type="dxa" w:w="900"/>
          </w:tcPr>
          <w:p>
            <w:pPr>
              <w:spacing w:after="0"/>
              <w:jc w:val="center"/>
            </w:pPr>
          </w:p>
        </w:tc>
        <w:tc>
          <w:tcPr>
            <w:tcW w:type="dxa" w:w="900"/>
          </w:tcPr>
          <w:p>
            <w:pPr>
              <w:spacing w:after="0"/>
              <w:jc w:val="center"/>
            </w:pPr>
          </w:p>
        </w:tc>
        <w:tc>
          <w:tcPr>
            <w:tcW w:type="dxa" w:w="1400"/>
          </w:tcPr>
          <w:p>
            <w:pPr>
              <w:spacing w:after="0"/>
              <w:jc w:val="left"/>
            </w:pPr>
          </w:p>
        </w:tc>
        <w:tc>
          <w:tcPr>
            <w:tcW w:type="dxa" w:w="1000"/>
          </w:tcPr>
          <w:p>
            <w:pPr>
              <w:spacing w:after="0"/>
              <w:jc w:val="center"/>
            </w:pPr>
          </w:p>
        </w:tc>
        <w:tc>
          <w:tcPr>
            <w:tcW w:type="dxa" w:w="79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1250"/>
          </w:tcPr>
          <w:p>
            <w:pPr>
              <w:spacing w:after="0"/>
              <w:jc w:val="left"/>
            </w:pPr>
          </w:p>
        </w:tc>
        <w:tc>
          <w:tcPr>
            <w:tcW w:type="dxa" w:w="1500"/>
          </w:tcPr>
          <w:p>
            <w:pPr>
              <w:spacing w:after="0"/>
              <w:jc w:val="left"/>
            </w:pPr>
          </w:p>
        </w:tc>
        <w:tc>
          <w:tcPr>
            <w:tcW w:type="dxa" w:w="1400"/>
          </w:tcPr>
          <w:p>
            <w:pPr>
              <w:spacing w:after="0"/>
              <w:jc w:val="left"/>
            </w:pPr>
          </w:p>
        </w:tc>
        <w:tc>
          <w:tcPr>
            <w:tcW w:type="dxa" w:w="1200"/>
          </w:tcPr>
          <w:p>
            <w:pPr>
              <w:spacing w:after="0"/>
              <w:jc w:val="left"/>
            </w:pPr>
          </w:p>
        </w:tc>
        <w:tc>
          <w:tcPr>
            <w:tcW w:type="dxa" w:w="1900"/>
          </w:tcPr>
          <w:p>
            <w:pPr>
              <w:spacing w:after="0"/>
              <w:jc w:val="left"/>
            </w:pPr>
          </w:p>
        </w:tc>
        <w:tc>
          <w:tcPr>
            <w:tcW w:type="dxa" w:w="900"/>
          </w:tcPr>
          <w:p>
            <w:pPr>
              <w:spacing w:after="0"/>
              <w:jc w:val="center"/>
            </w:pPr>
          </w:p>
        </w:tc>
        <w:tc>
          <w:tcPr>
            <w:tcW w:type="dxa" w:w="900"/>
          </w:tcPr>
          <w:p>
            <w:pPr>
              <w:spacing w:after="0"/>
              <w:jc w:val="center"/>
            </w:pPr>
          </w:p>
        </w:tc>
        <w:tc>
          <w:tcPr>
            <w:tcW w:type="dxa" w:w="1400"/>
          </w:tcPr>
          <w:p>
            <w:pPr>
              <w:spacing w:after="0"/>
              <w:jc w:val="left"/>
            </w:pPr>
          </w:p>
        </w:tc>
        <w:tc>
          <w:tcPr>
            <w:tcW w:type="dxa" w:w="1000"/>
          </w:tcPr>
          <w:p>
            <w:pPr>
              <w:spacing w:after="0"/>
              <w:jc w:val="center"/>
            </w:pPr>
          </w:p>
        </w:tc>
        <w:tc>
          <w:tcPr>
            <w:tcW w:type="dxa" w:w="79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1250"/>
          </w:tcPr>
          <w:p>
            <w:pPr>
              <w:spacing w:after="0"/>
              <w:jc w:val="left"/>
            </w:pPr>
          </w:p>
        </w:tc>
        <w:tc>
          <w:tcPr>
            <w:tcW w:type="dxa" w:w="1500"/>
          </w:tcPr>
          <w:p>
            <w:pPr>
              <w:spacing w:after="0"/>
              <w:jc w:val="left"/>
            </w:pPr>
          </w:p>
        </w:tc>
        <w:tc>
          <w:tcPr>
            <w:tcW w:type="dxa" w:w="1400"/>
          </w:tcPr>
          <w:p>
            <w:pPr>
              <w:spacing w:after="0"/>
              <w:jc w:val="left"/>
            </w:pPr>
          </w:p>
        </w:tc>
        <w:tc>
          <w:tcPr>
            <w:tcW w:type="dxa" w:w="1200"/>
          </w:tcPr>
          <w:p>
            <w:pPr>
              <w:spacing w:after="0"/>
              <w:jc w:val="left"/>
            </w:pPr>
          </w:p>
        </w:tc>
        <w:tc>
          <w:tcPr>
            <w:tcW w:type="dxa" w:w="1900"/>
          </w:tcPr>
          <w:p>
            <w:pPr>
              <w:spacing w:after="0"/>
              <w:jc w:val="left"/>
            </w:pPr>
          </w:p>
        </w:tc>
        <w:tc>
          <w:tcPr>
            <w:tcW w:type="dxa" w:w="900"/>
          </w:tcPr>
          <w:p>
            <w:pPr>
              <w:spacing w:after="0"/>
              <w:jc w:val="center"/>
            </w:pPr>
          </w:p>
        </w:tc>
        <w:tc>
          <w:tcPr>
            <w:tcW w:type="dxa" w:w="900"/>
          </w:tcPr>
          <w:p>
            <w:pPr>
              <w:spacing w:after="0"/>
              <w:jc w:val="center"/>
            </w:pPr>
          </w:p>
        </w:tc>
        <w:tc>
          <w:tcPr>
            <w:tcW w:type="dxa" w:w="1400"/>
          </w:tcPr>
          <w:p>
            <w:pPr>
              <w:spacing w:after="0"/>
              <w:jc w:val="left"/>
            </w:pPr>
          </w:p>
        </w:tc>
        <w:tc>
          <w:tcPr>
            <w:tcW w:type="dxa" w:w="1000"/>
          </w:tcPr>
          <w:p>
            <w:pPr>
              <w:spacing w:after="0"/>
              <w:jc w:val="center"/>
            </w:pPr>
          </w:p>
        </w:tc>
        <w:tc>
          <w:tcPr>
            <w:tcW w:type="dxa" w:w="79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1250"/>
          </w:tcPr>
          <w:p>
            <w:pPr>
              <w:spacing w:after="0"/>
              <w:jc w:val="left"/>
            </w:pPr>
          </w:p>
        </w:tc>
        <w:tc>
          <w:tcPr>
            <w:tcW w:type="dxa" w:w="1500"/>
          </w:tcPr>
          <w:p>
            <w:pPr>
              <w:spacing w:after="0"/>
              <w:jc w:val="left"/>
            </w:pPr>
          </w:p>
        </w:tc>
        <w:tc>
          <w:tcPr>
            <w:tcW w:type="dxa" w:w="1400"/>
          </w:tcPr>
          <w:p>
            <w:pPr>
              <w:spacing w:after="0"/>
              <w:jc w:val="left"/>
            </w:pPr>
          </w:p>
        </w:tc>
        <w:tc>
          <w:tcPr>
            <w:tcW w:type="dxa" w:w="1200"/>
          </w:tcPr>
          <w:p>
            <w:pPr>
              <w:spacing w:after="0"/>
              <w:jc w:val="left"/>
            </w:pPr>
          </w:p>
        </w:tc>
        <w:tc>
          <w:tcPr>
            <w:tcW w:type="dxa" w:w="1900"/>
          </w:tcPr>
          <w:p>
            <w:pPr>
              <w:spacing w:after="0"/>
              <w:jc w:val="left"/>
            </w:pPr>
          </w:p>
        </w:tc>
        <w:tc>
          <w:tcPr>
            <w:tcW w:type="dxa" w:w="900"/>
          </w:tcPr>
          <w:p>
            <w:pPr>
              <w:spacing w:after="0"/>
              <w:jc w:val="center"/>
            </w:pPr>
          </w:p>
        </w:tc>
        <w:tc>
          <w:tcPr>
            <w:tcW w:type="dxa" w:w="900"/>
          </w:tcPr>
          <w:p>
            <w:pPr>
              <w:spacing w:after="0"/>
              <w:jc w:val="center"/>
            </w:pPr>
          </w:p>
        </w:tc>
        <w:tc>
          <w:tcPr>
            <w:tcW w:type="dxa" w:w="1400"/>
          </w:tcPr>
          <w:p>
            <w:pPr>
              <w:spacing w:after="0"/>
              <w:jc w:val="left"/>
            </w:pPr>
          </w:p>
        </w:tc>
        <w:tc>
          <w:tcPr>
            <w:tcW w:type="dxa" w:w="1000"/>
          </w:tcPr>
          <w:p>
            <w:pPr>
              <w:spacing w:after="0"/>
              <w:jc w:val="center"/>
            </w:pPr>
          </w:p>
        </w:tc>
        <w:tc>
          <w:tcPr>
            <w:tcW w:type="dxa" w:w="790"/>
          </w:tcPr>
          <w:p>
            <w:pPr>
              <w:spacing w:after="0"/>
              <w:jc w:val="center"/>
            </w:pP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 B 报告结论模板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 xml:space="preserve">本次试验共完成 M5 铝合金粘接螺母剪切拉拔有效样 ______ 件，其中 SYT55G/环氧复合材料组 ______ 件，M40J/氰酸酯复合材料组 ______ 件。验收阈值按 </w:t>
      </w:r>
      <w:r>
        <w:rPr>
          <w:rFonts w:ascii="Consolas" w:hAnsi="Consolas" w:eastAsia="Microsoft YaHei"/>
          <w:b/>
          <w:sz w:val="22"/>
        </w:rPr>
        <w:t>F_accept = 1.5 x F_design</w:t>
      </w:r>
      <w:r>
        <w:rPr>
          <w:rFonts w:ascii="Calibri" w:hAnsi="Calibri" w:eastAsia="Microsoft YaHei"/>
          <w:b w:val="0"/>
          <w:sz w:val="22"/>
        </w:rPr>
        <w:t xml:space="preserve"> 计算，</w:t>
      </w:r>
      <w:r>
        <w:rPr>
          <w:rFonts w:ascii="Consolas" w:hAnsi="Consolas" w:eastAsia="Microsoft YaHei"/>
          <w:b/>
          <w:sz w:val="22"/>
        </w:rPr>
        <w:t>F_design = ______ N</w:t>
      </w:r>
      <w:r>
        <w:rPr>
          <w:rFonts w:ascii="Calibri" w:hAnsi="Calibri" w:eastAsia="Microsoft YaHei"/>
          <w:b w:val="0"/>
          <w:sz w:val="22"/>
        </w:rPr>
        <w:t>，</w:t>
      </w:r>
      <w:r>
        <w:rPr>
          <w:rFonts w:ascii="Consolas" w:hAnsi="Consolas" w:eastAsia="Microsoft YaHei"/>
          <w:b/>
          <w:sz w:val="22"/>
        </w:rPr>
        <w:t>F_accept = ______ N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 xml:space="preserve">SYT55G/环氧复合材料组 3 件有效样的 </w:t>
      </w:r>
      <w:r>
        <w:rPr>
          <w:rFonts w:ascii="Consolas" w:hAnsi="Consolas" w:eastAsia="Microsoft YaHei"/>
          <w:b/>
          <w:sz w:val="22"/>
        </w:rPr>
        <w:t>Fmax</w:t>
      </w:r>
      <w:r>
        <w:rPr>
          <w:rFonts w:ascii="Calibri" w:hAnsi="Calibri" w:eastAsia="Microsoft YaHei"/>
          <w:b w:val="0"/>
          <w:sz w:val="22"/>
        </w:rPr>
        <w:t xml:space="preserve"> 分别为 ______ N、______ N、______ N，平均值 ______ N，最小值 ______ N，变异系数 ______%。破坏模式为 ______。该组判定为：______。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 xml:space="preserve">M40J/氰酸酯复合材料组 3 件有效样的 </w:t>
      </w:r>
      <w:r>
        <w:rPr>
          <w:rFonts w:ascii="Consolas" w:hAnsi="Consolas" w:eastAsia="Microsoft YaHei"/>
          <w:b/>
          <w:sz w:val="22"/>
        </w:rPr>
        <w:t>Fmax</w:t>
      </w:r>
      <w:r>
        <w:rPr>
          <w:rFonts w:ascii="Calibri" w:hAnsi="Calibri" w:eastAsia="Microsoft YaHei"/>
          <w:b w:val="0"/>
          <w:sz w:val="22"/>
        </w:rPr>
        <w:t xml:space="preserve"> 分别为 ______ N、______ N、______ N，平均值 ______ N，最小值 ______ N，变异系数 ______%。破坏模式为 ______。该组判定为：______。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试验过程中发生的无效样、复验或偏离项如下：______。最终结论：______。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 C 试验前检查清单</w:t>
      </w:r>
    </w:p>
    <w:tbl>
      <w:tblPr>
        <w:tblStyle w:val="TableGrid"/>
        <w:tblW w:type="dxa" w:w="1224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6800"/>
        <w:gridCol w:w="3040"/>
      </w:tblGrid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20"/>
              </w:rPr>
              <w:t>检查项</w:t>
            </w:r>
          </w:p>
        </w:tc>
        <w:tc>
          <w:tcPr>
            <w:tcW w:type="dxa" w:w="6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20"/>
              </w:rPr>
              <w:t>要求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20"/>
              </w:rPr>
              <w:t>结果</w:t>
            </w:r>
          </w:p>
        </w:tc>
      </w:tr>
      <w:t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样件编号</w:t>
            </w:r>
          </w:p>
        </w:tc>
        <w:tc>
          <w:tcPr>
            <w:tcW w:type="dxa" w:w="6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与任务单、记录表一致。</w:t>
            </w:r>
          </w:p>
        </w:tc>
        <w:tc>
          <w:tcPr>
            <w:tcW w:type="dxa" w:w="304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□ 合格 □ 不合格</w:t>
            </w:r>
          </w:p>
        </w:tc>
      </w:tr>
      <w:t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材料体系</w:t>
            </w:r>
          </w:p>
        </w:tc>
        <w:tc>
          <w:tcPr>
            <w:tcW w:type="dxa" w:w="6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SYT55G/环氧或 M40J/氰酸酯已确认。</w:t>
            </w:r>
          </w:p>
        </w:tc>
        <w:tc>
          <w:tcPr>
            <w:tcW w:type="dxa" w:w="304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□ 合格 □ 不合格</w:t>
            </w:r>
          </w:p>
        </w:tc>
      </w:tr>
      <w:t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样件尺寸</w:t>
            </w:r>
          </w:p>
        </w:tc>
        <w:tc>
          <w:tcPr>
            <w:tcW w:type="dxa" w:w="6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90 mm x 25 mm x 6 mm 名义尺寸，实测值已记录。</w:t>
            </w:r>
          </w:p>
        </w:tc>
        <w:tc>
          <w:tcPr>
            <w:tcW w:type="dxa" w:w="304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□ 合格 □ 不合格</w:t>
            </w:r>
          </w:p>
        </w:tc>
      </w:tr>
      <w:t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螺母状态</w:t>
            </w:r>
          </w:p>
        </w:tc>
        <w:tc>
          <w:tcPr>
            <w:tcW w:type="dxa" w:w="6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M5 铝合金螺母居中粘接，无明显松动或污染。</w:t>
            </w:r>
          </w:p>
        </w:tc>
        <w:tc>
          <w:tcPr>
            <w:tcW w:type="dxa" w:w="304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□ 合格 □ 不合格</w:t>
            </w:r>
          </w:p>
        </w:tc>
      </w:tr>
      <w:t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A/B 端标识</w:t>
            </w:r>
          </w:p>
        </w:tc>
        <w:tc>
          <w:tcPr>
            <w:tcW w:type="dxa" w:w="6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标识清晰，装夹方向可追溯。</w:t>
            </w:r>
          </w:p>
        </w:tc>
        <w:tc>
          <w:tcPr>
            <w:tcW w:type="dxa" w:w="304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□ 合格 □ 不合格</w:t>
            </w:r>
          </w:p>
        </w:tc>
      </w:tr>
      <w:t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胶粘剂/固化记录</w:t>
            </w:r>
          </w:p>
        </w:tc>
        <w:tc>
          <w:tcPr>
            <w:tcW w:type="dxa" w:w="6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批次、表面处理和固化制度可追溯。</w:t>
            </w:r>
          </w:p>
        </w:tc>
        <w:tc>
          <w:tcPr>
            <w:tcW w:type="dxa" w:w="304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□ 合格 □ 不合格</w:t>
            </w:r>
          </w:p>
        </w:tc>
      </w:tr>
      <w:t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设备校准</w:t>
            </w:r>
          </w:p>
        </w:tc>
        <w:tc>
          <w:tcPr>
            <w:tcW w:type="dxa" w:w="6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试验机和传感器在校准有效期内。</w:t>
            </w:r>
          </w:p>
        </w:tc>
        <w:tc>
          <w:tcPr>
            <w:tcW w:type="dxa" w:w="304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□ 合格 □ 不合格</w:t>
            </w:r>
          </w:p>
        </w:tc>
      </w:tr>
      <w:t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传感器量程</w:t>
            </w:r>
          </w:p>
        </w:tc>
        <w:tc>
          <w:tcPr>
            <w:tcW w:type="dxa" w:w="6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预计峰值在满量程 10%-90%。</w:t>
            </w:r>
          </w:p>
        </w:tc>
        <w:tc>
          <w:tcPr>
            <w:tcW w:type="dxa" w:w="304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□ 合格 □ 不合格</w:t>
            </w:r>
          </w:p>
        </w:tc>
      </w:tr>
      <w:t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夹具状态</w:t>
            </w:r>
          </w:p>
        </w:tc>
        <w:tc>
          <w:tcPr>
            <w:tcW w:type="dxa" w:w="6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A/B 端固定可靠，拉杆无明显偏斜。</w:t>
            </w:r>
          </w:p>
        </w:tc>
        <w:tc>
          <w:tcPr>
            <w:tcW w:type="dxa" w:w="304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□ 合格 □ 不合格</w:t>
            </w:r>
          </w:p>
        </w:tc>
      </w:tr>
      <w:t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加载距离</w:t>
            </w:r>
          </w:p>
        </w:tc>
        <w:tc>
          <w:tcPr>
            <w:tcW w:type="dxa" w:w="6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F 到板面距离目标值 5 mm，实测值已记录。</w:t>
            </w:r>
          </w:p>
        </w:tc>
        <w:tc>
          <w:tcPr>
            <w:tcW w:type="dxa" w:w="304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□ 合格 □ 不合格</w:t>
            </w:r>
          </w:p>
        </w:tc>
      </w:tr>
      <w:t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数据采集</w:t>
            </w:r>
          </w:p>
        </w:tc>
        <w:tc>
          <w:tcPr>
            <w:tcW w:type="dxa" w:w="6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曲线文件名、采样频率和保存路径已确认。</w:t>
            </w:r>
          </w:p>
        </w:tc>
        <w:tc>
          <w:tcPr>
            <w:tcW w:type="dxa" w:w="304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□ 合格 □ 不合格</w:t>
            </w:r>
          </w:p>
        </w:tc>
      </w:tr>
      <w:t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安全防护</w:t>
            </w:r>
          </w:p>
        </w:tc>
        <w:tc>
          <w:tcPr>
            <w:tcW w:type="dxa" w:w="6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防护罩、限位和急停状态已确认。</w:t>
            </w:r>
          </w:p>
        </w:tc>
        <w:tc>
          <w:tcPr>
            <w:tcW w:type="dxa" w:w="304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□ 合格 □ 不合格</w:t>
            </w:r>
          </w:p>
        </w:tc>
      </w:tr>
    </w:tbl>
    <w:p>
      <w:pPr>
        <w:spacing w:after="80"/>
      </w:pPr>
    </w:p>
    <w:sectPr w:rsidR="00FC693F" w:rsidRPr="0006063C" w:rsidSect="00034616">
      <w:pgSz w:w="15840" w:h="12240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5A6069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A6069"/>
        <w:sz w:val="18"/>
      </w:rPr>
      <w:t xml:space="preserve"> 页</w:t>
    </w:r>
    <w:r>
      <w:rPr>
        <w:rFonts w:ascii="Calibri" w:hAnsi="Calibri" w:eastAsia="Microsoft YaHei"/>
        <w:color w:val="5A6069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A606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5A6069"/>
        <w:sz w:val="18"/>
      </w:rPr>
      <w:t>M5 粘接螺母剪切拉拔试验细则 | 试行稿</w:t>
    </w:r>
    <w:r>
      <w:rPr>
        <w:rFonts w:ascii="Calibri" w:hAnsi="Calibri" w:eastAsia="Microsoft YaHei"/>
        <w:color w:val="5A6069"/>
        <w:sz w:val="18"/>
      </w:rPr>
      <w:t>M5 粘接螺母剪切拉拔试验细则 | 试行稿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 w:eastAsia="Microsoft YaHei"/>
      <w:i/>
      <w:iCs/>
      <w:color w:val="5A606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