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E28A" w14:textId="1FCB5DE6" w:rsidR="001130B8" w:rsidRDefault="00000000">
      <w:pPr>
        <w:spacing w:after="220"/>
      </w:pPr>
      <w:r>
        <w:rPr>
          <w:b/>
          <w:bCs/>
          <w:color w:val="808080"/>
          <w:sz w:val="18"/>
          <w:szCs w:val="18"/>
        </w:rPr>
        <w:t>TITLE PAGE</w:t>
      </w:r>
    </w:p>
    <w:p w14:paraId="3670A738" w14:textId="18C4DF90" w:rsidR="001130B8" w:rsidRDefault="00000000">
      <w:pPr>
        <w:pBdr>
          <w:bottom w:val="single" w:sz="4" w:space="2" w:color="000000"/>
        </w:pBdr>
        <w:spacing w:before="260" w:after="100"/>
      </w:pPr>
      <w:r>
        <w:rPr>
          <w:b/>
          <w:bCs/>
          <w:sz w:val="22"/>
          <w:szCs w:val="22"/>
        </w:rPr>
        <w:t xml:space="preserve">1. </w:t>
      </w:r>
      <w:r w:rsidR="00CD221E">
        <w:rPr>
          <w:b/>
          <w:bCs/>
          <w:sz w:val="22"/>
          <w:szCs w:val="22"/>
        </w:rPr>
        <w:t>Title</w:t>
      </w:r>
    </w:p>
    <w:p w14:paraId="18E082BA" w14:textId="61A6960B" w:rsidR="001130B8" w:rsidRDefault="00CD221E" w:rsidP="00CD221E">
      <w:pPr>
        <w:spacing w:before="120" w:after="60"/>
        <w:jc w:val="center"/>
      </w:pPr>
      <w:r w:rsidRPr="008C72CB">
        <w:rPr>
          <w:sz w:val="36"/>
          <w:szCs w:val="36"/>
        </w:rPr>
        <w:t xml:space="preserve">Hyperparameter Optimization Using a Hybrid Bayesian-PSO Framework for Customer Churn Prediction </w:t>
      </w:r>
      <w:r>
        <w:rPr>
          <w:sz w:val="36"/>
          <w:szCs w:val="36"/>
        </w:rPr>
        <w:t xml:space="preserve">                                   </w:t>
      </w:r>
      <w:r w:rsidRPr="008C72CB">
        <w:rPr>
          <w:sz w:val="36"/>
          <w:szCs w:val="36"/>
        </w:rPr>
        <w:t>with Imbalanced Datasets</w:t>
      </w:r>
    </w:p>
    <w:p w14:paraId="7803DBA7" w14:textId="21135E07" w:rsidR="001130B8" w:rsidRDefault="00000000">
      <w:pPr>
        <w:pBdr>
          <w:bottom w:val="single" w:sz="4" w:space="2" w:color="000000"/>
        </w:pBdr>
        <w:spacing w:before="260" w:after="100"/>
      </w:pPr>
      <w:r>
        <w:rPr>
          <w:b/>
          <w:bCs/>
          <w:sz w:val="22"/>
          <w:szCs w:val="22"/>
        </w:rPr>
        <w:t xml:space="preserve">2. </w:t>
      </w:r>
      <w:r w:rsidR="00F5380D" w:rsidRPr="00F5380D">
        <w:rPr>
          <w:b/>
          <w:bCs/>
          <w:sz w:val="22"/>
          <w:szCs w:val="22"/>
        </w:rPr>
        <w:t>Author information</w:t>
      </w:r>
    </w:p>
    <w:p w14:paraId="470E9DD0" w14:textId="4F04830F" w:rsidR="001130B8" w:rsidRDefault="00ED1FFA">
      <w:pPr>
        <w:spacing w:after="20"/>
        <w:jc w:val="center"/>
      </w:pPr>
      <w:r>
        <w:rPr>
          <w:sz w:val="24"/>
          <w:szCs w:val="24"/>
        </w:rPr>
        <w:t>Dwi Sunaryono</w:t>
      </w:r>
      <w:r>
        <w:rPr>
          <w:sz w:val="16"/>
          <w:szCs w:val="16"/>
          <w:vertAlign w:val="superscript"/>
        </w:rPr>
        <w:t>1,2,*</w:t>
      </w:r>
      <w:r>
        <w:rPr>
          <w:sz w:val="24"/>
          <w:szCs w:val="24"/>
        </w:rPr>
        <w:t xml:space="preserve">,  </w:t>
      </w:r>
      <w:r w:rsidRPr="00ED1FFA">
        <w:rPr>
          <w:sz w:val="24"/>
          <w:szCs w:val="24"/>
        </w:rPr>
        <w:t>Bilqis Amaliah</w:t>
      </w:r>
      <w:r>
        <w:rPr>
          <w:sz w:val="16"/>
          <w:szCs w:val="16"/>
          <w:vertAlign w:val="superscript"/>
        </w:rPr>
        <w:t>2,†</w:t>
      </w:r>
      <w:r>
        <w:rPr>
          <w:sz w:val="24"/>
          <w:szCs w:val="24"/>
        </w:rPr>
        <w:t>, Herwinda Marwaa Salsabila</w:t>
      </w:r>
      <w:r>
        <w:rPr>
          <w:sz w:val="16"/>
          <w:szCs w:val="16"/>
          <w:vertAlign w:val="superscript"/>
        </w:rPr>
        <w:t>,2,†</w:t>
      </w:r>
      <w:r>
        <w:rPr>
          <w:sz w:val="24"/>
          <w:szCs w:val="24"/>
        </w:rPr>
        <w:t xml:space="preserve">, </w:t>
      </w:r>
      <w:r w:rsidRPr="00B45476">
        <w:rPr>
          <w:color w:val="EE0000"/>
          <w:sz w:val="24"/>
          <w:szCs w:val="24"/>
        </w:rPr>
        <w:t>Wawan Fergiawan</w:t>
      </w:r>
      <w:r>
        <w:rPr>
          <w:sz w:val="16"/>
          <w:szCs w:val="16"/>
          <w:vertAlign w:val="superscript"/>
        </w:rPr>
        <w:t>,2,†</w:t>
      </w:r>
    </w:p>
    <w:p w14:paraId="3A79943F" w14:textId="7855A713" w:rsidR="001130B8" w:rsidRDefault="00000000">
      <w:pPr>
        <w:spacing w:after="20"/>
        <w:jc w:val="center"/>
      </w:pPr>
      <w:r>
        <w:rPr>
          <w:sz w:val="16"/>
          <w:szCs w:val="16"/>
          <w:vertAlign w:val="superscript"/>
        </w:rPr>
        <w:t>1</w:t>
      </w:r>
      <w:r w:rsidR="00ED1FFA">
        <w:rPr>
          <w:sz w:val="16"/>
          <w:szCs w:val="16"/>
          <w:vertAlign w:val="superscript"/>
        </w:rPr>
        <w:t>234</w:t>
      </w:r>
      <w:r w:rsidR="004E7C31" w:rsidRPr="004E7C31">
        <w:rPr>
          <w:sz w:val="18"/>
          <w:szCs w:val="18"/>
        </w:rPr>
        <w:t>Department of Informatics</w:t>
      </w:r>
      <w:r>
        <w:rPr>
          <w:sz w:val="18"/>
          <w:szCs w:val="18"/>
        </w:rPr>
        <w:t xml:space="preserve">, </w:t>
      </w:r>
      <w:r w:rsidR="004E7C31" w:rsidRPr="004E7C31">
        <w:rPr>
          <w:sz w:val="18"/>
          <w:szCs w:val="18"/>
        </w:rPr>
        <w:t>Institut Teknologi Sepuluh Nopember</w:t>
      </w:r>
      <w:r>
        <w:rPr>
          <w:sz w:val="18"/>
          <w:szCs w:val="18"/>
        </w:rPr>
        <w:t xml:space="preserve">, </w:t>
      </w:r>
      <w:r w:rsidR="004E7C31" w:rsidRPr="004E7C31">
        <w:rPr>
          <w:sz w:val="18"/>
          <w:szCs w:val="18"/>
        </w:rPr>
        <w:t>Teknik Kimia Street</w:t>
      </w:r>
      <w:r w:rsidR="004E7C31" w:rsidRPr="004E7C31">
        <w:rPr>
          <w:i/>
          <w:iCs/>
          <w:sz w:val="18"/>
          <w:szCs w:val="18"/>
        </w:rPr>
        <w:t xml:space="preserve">, </w:t>
      </w:r>
      <w:r w:rsidR="004E7C31" w:rsidRPr="004E7C31">
        <w:rPr>
          <w:sz w:val="18"/>
          <w:szCs w:val="18"/>
        </w:rPr>
        <w:t>Surabaya, 60111,</w:t>
      </w:r>
      <w:r>
        <w:rPr>
          <w:sz w:val="18"/>
          <w:szCs w:val="18"/>
        </w:rPr>
        <w:t xml:space="preserve"> </w:t>
      </w:r>
      <w:r w:rsidR="004E7C31">
        <w:rPr>
          <w:sz w:val="18"/>
          <w:szCs w:val="18"/>
        </w:rPr>
        <w:t>East Java</w:t>
      </w:r>
      <w:r>
        <w:rPr>
          <w:sz w:val="18"/>
          <w:szCs w:val="18"/>
        </w:rPr>
        <w:t xml:space="preserve">, </w:t>
      </w:r>
      <w:r w:rsidR="004E7C31">
        <w:rPr>
          <w:sz w:val="18"/>
          <w:szCs w:val="18"/>
        </w:rPr>
        <w:t>Indonesia</w:t>
      </w:r>
      <w:r>
        <w:rPr>
          <w:sz w:val="18"/>
          <w:szCs w:val="18"/>
        </w:rPr>
        <w:t>.</w:t>
      </w:r>
    </w:p>
    <w:p w14:paraId="597703E8" w14:textId="18076BCC" w:rsidR="001130B8" w:rsidRDefault="00000000">
      <w:pPr>
        <w:spacing w:before="100" w:after="20"/>
        <w:jc w:val="center"/>
      </w:pPr>
      <w:r>
        <w:rPr>
          <w:sz w:val="18"/>
          <w:szCs w:val="18"/>
          <w:vertAlign w:val="superscript"/>
        </w:rPr>
        <w:t>*</w:t>
      </w:r>
      <w:r w:rsidR="00B95A8C">
        <w:rPr>
          <w:sz w:val="18"/>
          <w:szCs w:val="18"/>
        </w:rPr>
        <w:t>E</w:t>
      </w:r>
      <w:r w:rsidR="00B95A8C" w:rsidRPr="00B95A8C">
        <w:rPr>
          <w:sz w:val="18"/>
          <w:szCs w:val="18"/>
        </w:rPr>
        <w:t>-mail address of the corresponding author</w:t>
      </w:r>
      <w:r>
        <w:rPr>
          <w:sz w:val="18"/>
          <w:szCs w:val="18"/>
        </w:rPr>
        <w:t xml:space="preserve">: </w:t>
      </w:r>
      <w:r>
        <w:rPr>
          <w:color w:val="0563C1"/>
          <w:sz w:val="18"/>
          <w:szCs w:val="18"/>
          <w:u w:val="single"/>
        </w:rPr>
        <w:t>email@</w:t>
      </w:r>
      <w:r w:rsidR="00B95A8C">
        <w:rPr>
          <w:color w:val="0563C1"/>
          <w:sz w:val="18"/>
          <w:szCs w:val="18"/>
          <w:u w:val="single"/>
        </w:rPr>
        <w:t>its</w:t>
      </w:r>
      <w:r>
        <w:rPr>
          <w:color w:val="0563C1"/>
          <w:sz w:val="18"/>
          <w:szCs w:val="18"/>
          <w:u w:val="single"/>
        </w:rPr>
        <w:t>.ac.id</w:t>
      </w:r>
    </w:p>
    <w:p w14:paraId="45DDAE4D" w14:textId="6A2ABB0C" w:rsidR="001130B8" w:rsidRDefault="007B5EB9">
      <w:pPr>
        <w:spacing w:after="20"/>
        <w:jc w:val="center"/>
      </w:pPr>
      <w:r>
        <w:rPr>
          <w:sz w:val="18"/>
          <w:szCs w:val="18"/>
        </w:rPr>
        <w:t>E</w:t>
      </w:r>
      <w:r w:rsidRPr="00B95A8C">
        <w:rPr>
          <w:sz w:val="18"/>
          <w:szCs w:val="18"/>
        </w:rPr>
        <w:t xml:space="preserve">-mail address of the </w:t>
      </w:r>
      <w:r>
        <w:rPr>
          <w:sz w:val="18"/>
          <w:szCs w:val="18"/>
        </w:rPr>
        <w:t>contributor author</w:t>
      </w:r>
      <w:r w:rsidR="00000000">
        <w:rPr>
          <w:sz w:val="18"/>
          <w:szCs w:val="18"/>
        </w:rPr>
        <w:t xml:space="preserve">: </w:t>
      </w:r>
      <w:r w:rsidR="00B95A8C">
        <w:rPr>
          <w:color w:val="0563C1"/>
          <w:sz w:val="18"/>
          <w:szCs w:val="18"/>
          <w:u w:val="single"/>
        </w:rPr>
        <w:t>email@its.ac.id</w:t>
      </w:r>
      <w:r w:rsidR="00000000">
        <w:rPr>
          <w:sz w:val="18"/>
          <w:szCs w:val="18"/>
        </w:rPr>
        <w:t xml:space="preserve">; </w:t>
      </w:r>
      <w:r w:rsidR="00EB4689">
        <w:rPr>
          <w:color w:val="0563C1"/>
          <w:sz w:val="18"/>
          <w:szCs w:val="18"/>
          <w:u w:val="single"/>
        </w:rPr>
        <w:t>herwinda24.ms</w:t>
      </w:r>
      <w:r w:rsidR="00B95A8C" w:rsidRPr="00B95A8C">
        <w:rPr>
          <w:color w:val="0563C1"/>
          <w:sz w:val="18"/>
          <w:szCs w:val="18"/>
          <w:u w:val="single"/>
        </w:rPr>
        <w:t>@gmail.co</w:t>
      </w:r>
      <w:r w:rsidR="00B95A8C">
        <w:rPr>
          <w:color w:val="0563C1"/>
          <w:sz w:val="18"/>
          <w:szCs w:val="18"/>
          <w:u w:val="single"/>
        </w:rPr>
        <w:t xml:space="preserve">m; email@its.ac.id; </w:t>
      </w:r>
    </w:p>
    <w:p w14:paraId="1E68176E" w14:textId="75E68549" w:rsidR="001130B8" w:rsidRDefault="00000000" w:rsidP="004E7C31">
      <w:pPr>
        <w:spacing w:after="20"/>
        <w:jc w:val="center"/>
      </w:pPr>
      <w:r>
        <w:rPr>
          <w:b/>
          <w:bCs/>
          <w:sz w:val="18"/>
          <w:szCs w:val="18"/>
        </w:rPr>
        <w:t xml:space="preserve">ORCID: </w:t>
      </w:r>
      <w:r w:rsidR="000F37D7" w:rsidRPr="000F37D7">
        <w:rPr>
          <w:sz w:val="18"/>
          <w:szCs w:val="18"/>
        </w:rPr>
        <w:t>0000-0001-9925-9263</w:t>
      </w:r>
      <w:r>
        <w:rPr>
          <w:sz w:val="18"/>
          <w:szCs w:val="18"/>
        </w:rPr>
        <w:t xml:space="preserve">; </w:t>
      </w:r>
      <w:r w:rsidR="00F256A5" w:rsidRPr="00F256A5">
        <w:rPr>
          <w:sz w:val="18"/>
          <w:szCs w:val="18"/>
        </w:rPr>
        <w:t>0000-0003-3154-8653</w:t>
      </w:r>
      <w:r w:rsidR="004E7C31">
        <w:rPr>
          <w:sz w:val="18"/>
          <w:szCs w:val="18"/>
        </w:rPr>
        <w:t xml:space="preserve">; </w:t>
      </w:r>
      <w:r w:rsidR="004E7C31" w:rsidRPr="004E7C31">
        <w:rPr>
          <w:sz w:val="18"/>
          <w:szCs w:val="18"/>
        </w:rPr>
        <w:t>0009-0000-2445-2229</w:t>
      </w:r>
      <w:r w:rsidR="00F256A5">
        <w:rPr>
          <w:sz w:val="18"/>
          <w:szCs w:val="18"/>
        </w:rPr>
        <w:t>;</w:t>
      </w:r>
      <w:r w:rsidR="00B45476">
        <w:rPr>
          <w:sz w:val="18"/>
          <w:szCs w:val="18"/>
        </w:rPr>
        <w:t xml:space="preserve"> </w:t>
      </w:r>
      <w:r w:rsidR="00B45476" w:rsidRPr="00B45476">
        <w:rPr>
          <w:color w:val="EE0000"/>
          <w:sz w:val="18"/>
          <w:szCs w:val="18"/>
        </w:rPr>
        <w:t>00000000000</w:t>
      </w:r>
      <w:r w:rsidR="00F256A5">
        <w:rPr>
          <w:sz w:val="18"/>
          <w:szCs w:val="18"/>
        </w:rPr>
        <w:t xml:space="preserve"> </w:t>
      </w:r>
    </w:p>
    <w:p w14:paraId="1A579E38" w14:textId="3D41AADE" w:rsidR="001130B8" w:rsidRDefault="00000000">
      <w:pPr>
        <w:spacing w:before="100" w:after="60"/>
      </w:pPr>
      <w:r>
        <w:rPr>
          <w:b/>
          <w:bCs/>
        </w:rPr>
        <w:t>AI/LLM</w:t>
      </w:r>
      <w:r w:rsidR="00F5380D">
        <w:rPr>
          <w:b/>
          <w:bCs/>
        </w:rPr>
        <w:t xml:space="preserve"> Declaration</w:t>
      </w:r>
      <w:r>
        <w:rPr>
          <w:b/>
          <w:bCs/>
        </w:rPr>
        <w:t xml:space="preserve">: </w:t>
      </w:r>
    </w:p>
    <w:p w14:paraId="57F221F2" w14:textId="252F291D" w:rsidR="001130B8" w:rsidRDefault="00816DCA" w:rsidP="004E7C31">
      <w:pPr>
        <w:spacing w:after="160"/>
      </w:pPr>
      <w:r w:rsidRPr="00816DCA">
        <w:t xml:space="preserve">AI-based tools (e.g., </w:t>
      </w:r>
      <w:r w:rsidR="00F5380D">
        <w:t>Gemini</w:t>
      </w:r>
      <w:r w:rsidRPr="00816DCA">
        <w:t xml:space="preserve">/Claude) were used to assist with grammar refinement and translation of parts of the manuscript text, which falls under AI-assisted copy editing. The same tools were also used to assist in debugging the implementation code used </w:t>
      </w:r>
      <w:r w:rsidR="00941BC2">
        <w:t>in</w:t>
      </w:r>
      <w:r w:rsidRPr="00816DCA">
        <w:t xml:space="preserve"> the experiments. All code, analyses, and the final manuscript were reviewed and verified by the authors, who take full responsibility for their accuracy and content."</w:t>
      </w:r>
    </w:p>
    <w:p w14:paraId="7F0D2550" w14:textId="7B1723E4" w:rsidR="001130B8" w:rsidRDefault="00000000">
      <w:pPr>
        <w:pBdr>
          <w:bottom w:val="single" w:sz="4" w:space="2" w:color="000000"/>
        </w:pBdr>
        <w:spacing w:before="260" w:after="100"/>
      </w:pPr>
      <w:r>
        <w:rPr>
          <w:b/>
          <w:bCs/>
          <w:sz w:val="22"/>
          <w:szCs w:val="22"/>
        </w:rPr>
        <w:t>3. Abstra</w:t>
      </w:r>
      <w:r w:rsidR="00CD221E">
        <w:rPr>
          <w:b/>
          <w:bCs/>
          <w:sz w:val="22"/>
          <w:szCs w:val="22"/>
        </w:rPr>
        <w:t>ct</w:t>
      </w:r>
    </w:p>
    <w:p w14:paraId="365D7D8D" w14:textId="54AF837B" w:rsidR="001130B8" w:rsidRDefault="00CD221E">
      <w:pPr>
        <w:spacing w:after="120" w:line="276" w:lineRule="auto"/>
        <w:jc w:val="both"/>
      </w:pPr>
      <w:r w:rsidRPr="00CD221E">
        <w:t>Customer churn prediction in the banking and telecommunications sectors faces two interrelated challenges: class imbalance and the sensitivity of deep neural network (DNN) performance to hyperparameter configuration. Most prior approaches address these challenges separately and in an ad hoc manner, leaving a gap for integrated end-to-end optimization pipelines. To address this issue, we propose the Hybrid Bayesian-Particle Swarm Optimization (HBP) framework</w:t>
      </w:r>
      <w:r w:rsidR="001A4812">
        <w:t>. This sequential two-phase strategy</w:t>
      </w:r>
      <w:r w:rsidRPr="00CD221E">
        <w:t xml:space="preserve"> combines the global exploration of particle swarm optimization (PSO) with the sample-efficient local exploitation of Bayesian optimization (BO) through a Tree-structured Parzen Estimator. A synthetic minority over-sampling technique combined with Tomek Links (SMOTE-Tomek) is embedded as a fold-internal resampling step to prevent data leakage. The framework is evaluated on two publicly available datasets from distinct industry domains under stratified cross-validation with nonparametric statistical testing, benchmarked against a manual baseline, standalone PSO, and standalone BO. Systematic hyperparameter optimization (HPO) consistently outperforms manual tuning with large effect sizes on both datasets, reaching statistical significance on the higher-dimensional dataset. HBP consistently attains the strongest discriminative performance and the most stable results while selecting the most parsimonious architecture among all methods, substantially reducing parameter count relative to standalone PSO. Although its numerical advantage over standalone PSO and BO does not reach significance after correction for multiple comparisons, the main contribution lies not in demonstrated numerical superiority but in an integrated resampling-HPO pipeline that consistently yields the best-performing, most stable, and most parameter-efficient models, positioning HBP as a principled framework for data-adaptive DNN configuration.</w:t>
      </w:r>
    </w:p>
    <w:p w14:paraId="787395D4" w14:textId="77777777" w:rsidR="001130B8" w:rsidRDefault="00000000">
      <w:pPr>
        <w:pBdr>
          <w:bottom w:val="single" w:sz="4" w:space="2" w:color="000000"/>
        </w:pBdr>
        <w:spacing w:before="260" w:after="100"/>
      </w:pPr>
      <w:r>
        <w:rPr>
          <w:b/>
          <w:bCs/>
          <w:sz w:val="22"/>
          <w:szCs w:val="22"/>
        </w:rPr>
        <w:t>4. Keywords</w:t>
      </w:r>
    </w:p>
    <w:p w14:paraId="2FF09FC4" w14:textId="634E7670" w:rsidR="001130B8" w:rsidRDefault="00000000" w:rsidP="00CD221E">
      <w:pPr>
        <w:spacing w:after="60"/>
      </w:pPr>
      <w:r>
        <w:rPr>
          <w:b/>
          <w:bCs/>
        </w:rPr>
        <w:t xml:space="preserve">Keywords: </w:t>
      </w:r>
      <w:r w:rsidR="00CD221E">
        <w:t>B</w:t>
      </w:r>
      <w:r w:rsidR="00CD221E" w:rsidRPr="008C72CB">
        <w:t xml:space="preserve">ayesian optimization, </w:t>
      </w:r>
      <w:r w:rsidR="00CD221E">
        <w:t>C</w:t>
      </w:r>
      <w:r w:rsidR="00CD221E" w:rsidRPr="008C72CB">
        <w:t>ustomer churn</w:t>
      </w:r>
      <w:r w:rsidR="00CD221E">
        <w:rPr>
          <w:b/>
          <w:bCs/>
        </w:rPr>
        <w:t xml:space="preserve">, </w:t>
      </w:r>
      <w:r w:rsidR="00CD221E">
        <w:t>D</w:t>
      </w:r>
      <w:r w:rsidR="00CD221E" w:rsidRPr="008C72CB">
        <w:t xml:space="preserve">eep </w:t>
      </w:r>
      <w:r w:rsidR="00CD221E">
        <w:t>N</w:t>
      </w:r>
      <w:r w:rsidR="00CD221E" w:rsidRPr="008C72CB">
        <w:t xml:space="preserve">eural </w:t>
      </w:r>
      <w:r w:rsidR="00CD221E">
        <w:t>N</w:t>
      </w:r>
      <w:r w:rsidR="00CD221E" w:rsidRPr="008C72CB">
        <w:t xml:space="preserve">etwork, </w:t>
      </w:r>
      <w:r w:rsidR="00CD221E">
        <w:t>H</w:t>
      </w:r>
      <w:r w:rsidR="00CD221E" w:rsidRPr="008C72CB">
        <w:t xml:space="preserve">yperparameter </w:t>
      </w:r>
      <w:r w:rsidR="00CD221E">
        <w:t>O</w:t>
      </w:r>
      <w:r w:rsidR="00CD221E" w:rsidRPr="008C72CB">
        <w:t xml:space="preserve">ptimization, </w:t>
      </w:r>
      <w:r w:rsidR="00CD221E">
        <w:t>P</w:t>
      </w:r>
      <w:r w:rsidR="00CD221E" w:rsidRPr="008C72CB">
        <w:t xml:space="preserve">article </w:t>
      </w:r>
      <w:r w:rsidR="00CD221E">
        <w:t>S</w:t>
      </w:r>
      <w:r w:rsidR="00CD221E" w:rsidRPr="008C72CB">
        <w:t xml:space="preserve">warm </w:t>
      </w:r>
      <w:r w:rsidR="00CD221E">
        <w:t xml:space="preserve">Optimization </w:t>
      </w:r>
    </w:p>
    <w:p w14:paraId="3D2E021D" w14:textId="77777777" w:rsidR="001130B8" w:rsidRDefault="00000000">
      <w:pPr>
        <w:pBdr>
          <w:bottom w:val="single" w:sz="4" w:space="2" w:color="000000"/>
        </w:pBdr>
        <w:spacing w:before="260" w:after="100"/>
      </w:pPr>
      <w:r>
        <w:rPr>
          <w:b/>
          <w:bCs/>
          <w:sz w:val="22"/>
          <w:szCs w:val="22"/>
        </w:rPr>
        <w:t>5. Statements and Declarations</w:t>
      </w:r>
    </w:p>
    <w:p w14:paraId="2913D932" w14:textId="659870FC" w:rsidR="001130B8" w:rsidRDefault="00000000">
      <w:pPr>
        <w:spacing w:after="100" w:line="276" w:lineRule="auto"/>
      </w:pPr>
      <w:r>
        <w:rPr>
          <w:b/>
          <w:bCs/>
        </w:rPr>
        <w:lastRenderedPageBreak/>
        <w:t xml:space="preserve">Competing Interests: </w:t>
      </w:r>
      <w:r w:rsidR="00B45476" w:rsidRPr="00B45476">
        <w:t>The authors declare that they have no known competing financial interests or personal relationships that could have appeared to influence the work reported in this paper.</w:t>
      </w:r>
    </w:p>
    <w:p w14:paraId="798011A7" w14:textId="0BE27EB2" w:rsidR="001130B8" w:rsidRDefault="00000000">
      <w:pPr>
        <w:spacing w:after="100" w:line="276" w:lineRule="auto"/>
      </w:pPr>
      <w:r>
        <w:rPr>
          <w:b/>
          <w:bCs/>
        </w:rPr>
        <w:t xml:space="preserve">Author Contributions: </w:t>
      </w:r>
      <w:r w:rsidR="00580B34" w:rsidRPr="00C64D87">
        <w:rPr>
          <w:color w:val="EE0000"/>
        </w:rPr>
        <w:t>xxx</w:t>
      </w:r>
    </w:p>
    <w:p w14:paraId="4132203D" w14:textId="634E710B" w:rsidR="001130B8" w:rsidRPr="00B45476" w:rsidRDefault="00000000">
      <w:pPr>
        <w:spacing w:after="100" w:line="276" w:lineRule="auto"/>
        <w:rPr>
          <w:color w:val="EE0000"/>
        </w:rPr>
      </w:pPr>
      <w:r w:rsidRPr="00B45476">
        <w:rPr>
          <w:b/>
          <w:bCs/>
          <w:color w:val="EE0000"/>
        </w:rPr>
        <w:t xml:space="preserve">Funding: </w:t>
      </w:r>
      <w:r w:rsidRPr="00B45476">
        <w:rPr>
          <w:color w:val="EE0000"/>
        </w:rPr>
        <w:t>No funding was received for conducting this study.</w:t>
      </w:r>
    </w:p>
    <w:p w14:paraId="3B0BA5A4" w14:textId="6F04937B" w:rsidR="001130B8" w:rsidRDefault="00000000">
      <w:pPr>
        <w:spacing w:after="100" w:line="276" w:lineRule="auto"/>
      </w:pPr>
      <w:r>
        <w:rPr>
          <w:b/>
          <w:bCs/>
        </w:rPr>
        <w:t xml:space="preserve">Data Availability: </w:t>
      </w:r>
      <w:r w:rsidR="00AC4B44" w:rsidRPr="00AC4B44">
        <w:t>The datasets analyzed in this study are publicly available on Kaggle: the Telco Customer Churn dataset (</w:t>
      </w:r>
      <w:hyperlink r:id="rId5" w:history="1">
        <w:r w:rsidR="00AC4B44" w:rsidRPr="00AC4B44">
          <w:rPr>
            <w:rStyle w:val="Hyperlink"/>
          </w:rPr>
          <w:t>https://www.kaggle.com/datasets/blastchar/telco-customer-churn</w:t>
        </w:r>
      </w:hyperlink>
      <w:r w:rsidR="00AC4B44" w:rsidRPr="00AC4B44">
        <w:t>) and the Churn Modelling dataset (</w:t>
      </w:r>
      <w:hyperlink r:id="rId6" w:history="1">
        <w:r w:rsidR="00AC4B44" w:rsidRPr="00AC4B44">
          <w:rPr>
            <w:rStyle w:val="Hyperlink"/>
          </w:rPr>
          <w:t>https://www.kaggle.com/datasets/shrutimechlearn/churn-modelling</w:t>
        </w:r>
      </w:hyperlink>
      <w:r w:rsidR="00AC4B44" w:rsidRPr="00AC4B44">
        <w:t xml:space="preserve">). The code supporting the findings of this study is publicly available on GitHub at </w:t>
      </w:r>
      <w:hyperlink r:id="rId7" w:history="1">
        <w:r w:rsidR="00AC4B44" w:rsidRPr="00AC4B44">
          <w:rPr>
            <w:rStyle w:val="Hyperlink"/>
          </w:rPr>
          <w:t>https://github.com/Herwindams24/CustomerChurnHybridBayesianPSO</w:t>
        </w:r>
      </w:hyperlink>
      <w:r w:rsidR="00AC4B44" w:rsidRPr="00AC4B44">
        <w:t>.</w:t>
      </w:r>
    </w:p>
    <w:p w14:paraId="48DE6A7B" w14:textId="5AC1E1FB" w:rsidR="001130B8" w:rsidRDefault="00000000">
      <w:pPr>
        <w:spacing w:after="100" w:line="276" w:lineRule="auto"/>
      </w:pPr>
      <w:r>
        <w:rPr>
          <w:b/>
          <w:bCs/>
        </w:rPr>
        <w:t xml:space="preserve">Ethical Approval &amp; Informed Consent: </w:t>
      </w:r>
      <w:r>
        <w:t>Not applicable.</w:t>
      </w:r>
    </w:p>
    <w:p w14:paraId="1B3F4649" w14:textId="718EE38A" w:rsidR="001130B8" w:rsidRDefault="00000000" w:rsidP="00E061E0">
      <w:pPr>
        <w:spacing w:after="200" w:line="276" w:lineRule="auto"/>
      </w:pPr>
      <w:r>
        <w:rPr>
          <w:b/>
          <w:bCs/>
        </w:rPr>
        <w:t xml:space="preserve">Acknowledgments: </w:t>
      </w:r>
      <w:r w:rsidR="00580B34">
        <w:t>Not applicable.</w:t>
      </w:r>
    </w:p>
    <w:sectPr w:rsidR="001130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20BE"/>
    <w:multiLevelType w:val="hybridMultilevel"/>
    <w:tmpl w:val="3776F6C6"/>
    <w:lvl w:ilvl="0" w:tplc="988244C8">
      <w:start w:val="1"/>
      <w:numFmt w:val="bullet"/>
      <w:lvlText w:val="●"/>
      <w:lvlJc w:val="left"/>
      <w:pPr>
        <w:ind w:left="720" w:hanging="360"/>
      </w:pPr>
    </w:lvl>
    <w:lvl w:ilvl="1" w:tplc="320C6BFA">
      <w:start w:val="1"/>
      <w:numFmt w:val="bullet"/>
      <w:lvlText w:val="○"/>
      <w:lvlJc w:val="left"/>
      <w:pPr>
        <w:ind w:left="1440" w:hanging="360"/>
      </w:pPr>
    </w:lvl>
    <w:lvl w:ilvl="2" w:tplc="E6A27C82">
      <w:start w:val="1"/>
      <w:numFmt w:val="bullet"/>
      <w:lvlText w:val="■"/>
      <w:lvlJc w:val="left"/>
      <w:pPr>
        <w:ind w:left="2160" w:hanging="360"/>
      </w:pPr>
    </w:lvl>
    <w:lvl w:ilvl="3" w:tplc="28DCF766">
      <w:start w:val="1"/>
      <w:numFmt w:val="bullet"/>
      <w:lvlText w:val="●"/>
      <w:lvlJc w:val="left"/>
      <w:pPr>
        <w:ind w:left="2880" w:hanging="360"/>
      </w:pPr>
    </w:lvl>
    <w:lvl w:ilvl="4" w:tplc="8A24FB4A">
      <w:start w:val="1"/>
      <w:numFmt w:val="bullet"/>
      <w:lvlText w:val="○"/>
      <w:lvlJc w:val="left"/>
      <w:pPr>
        <w:ind w:left="3600" w:hanging="360"/>
      </w:pPr>
    </w:lvl>
    <w:lvl w:ilvl="5" w:tplc="00621D12">
      <w:start w:val="1"/>
      <w:numFmt w:val="bullet"/>
      <w:lvlText w:val="■"/>
      <w:lvlJc w:val="left"/>
      <w:pPr>
        <w:ind w:left="4320" w:hanging="360"/>
      </w:pPr>
    </w:lvl>
    <w:lvl w:ilvl="6" w:tplc="88A008C4">
      <w:start w:val="1"/>
      <w:numFmt w:val="bullet"/>
      <w:lvlText w:val="●"/>
      <w:lvlJc w:val="left"/>
      <w:pPr>
        <w:ind w:left="5040" w:hanging="360"/>
      </w:pPr>
    </w:lvl>
    <w:lvl w:ilvl="7" w:tplc="9AC4FBD2">
      <w:start w:val="1"/>
      <w:numFmt w:val="bullet"/>
      <w:lvlText w:val="●"/>
      <w:lvlJc w:val="left"/>
      <w:pPr>
        <w:ind w:left="5760" w:hanging="360"/>
      </w:pPr>
    </w:lvl>
    <w:lvl w:ilvl="8" w:tplc="2B222698">
      <w:start w:val="1"/>
      <w:numFmt w:val="bullet"/>
      <w:lvlText w:val="●"/>
      <w:lvlJc w:val="left"/>
      <w:pPr>
        <w:ind w:left="6480" w:hanging="360"/>
      </w:pPr>
    </w:lvl>
  </w:abstractNum>
  <w:num w:numId="1" w16cid:durableId="904799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0B8"/>
    <w:rsid w:val="000C1739"/>
    <w:rsid w:val="000F37D7"/>
    <w:rsid w:val="001130B8"/>
    <w:rsid w:val="001A4812"/>
    <w:rsid w:val="00220D83"/>
    <w:rsid w:val="004E7C31"/>
    <w:rsid w:val="00580B34"/>
    <w:rsid w:val="005C4C81"/>
    <w:rsid w:val="00736808"/>
    <w:rsid w:val="007B5EB9"/>
    <w:rsid w:val="00816DCA"/>
    <w:rsid w:val="00941BC2"/>
    <w:rsid w:val="00AC4B44"/>
    <w:rsid w:val="00B45476"/>
    <w:rsid w:val="00B95A8C"/>
    <w:rsid w:val="00C64D87"/>
    <w:rsid w:val="00CD221E"/>
    <w:rsid w:val="00D632F4"/>
    <w:rsid w:val="00E061E0"/>
    <w:rsid w:val="00EB4689"/>
    <w:rsid w:val="00ED1FFA"/>
    <w:rsid w:val="00F256A5"/>
    <w:rsid w:val="00F53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0990"/>
  <w15:docId w15:val="{51137C29-9096-4BC4-B80B-3BF86A64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5A8C"/>
    <w:rPr>
      <w:color w:val="605E5C"/>
      <w:shd w:val="clear" w:color="auto" w:fill="E1DFDD"/>
    </w:rPr>
  </w:style>
  <w:style w:type="character" w:styleId="FollowedHyperlink">
    <w:name w:val="FollowedHyperlink"/>
    <w:basedOn w:val="DefaultParagraphFont"/>
    <w:uiPriority w:val="99"/>
    <w:semiHidden/>
    <w:unhideWhenUsed/>
    <w:rsid w:val="00AC4B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erwindams24/CustomerChurnHybridBayesianP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rutimechlearn/churn-modelling" TargetMode="Externa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Title Page</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Template Jurnal</dc:creator>
  <cp:lastModifiedBy>Herwinda Marwaa</cp:lastModifiedBy>
  <cp:revision>18</cp:revision>
  <dcterms:created xsi:type="dcterms:W3CDTF">2026-07-01T15:44:00Z</dcterms:created>
  <dcterms:modified xsi:type="dcterms:W3CDTF">2026-07-02T01:12:00Z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6d8fac8b-4409-4714-98bd-af01b98f9ed7</vt:lpwstr>
  </property>
</Properties>
</file>