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3E9A" w14:textId="77777777" w:rsidR="00B35F84" w:rsidRPr="00B35F84" w:rsidRDefault="00B35F84" w:rsidP="00B35F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35F84">
        <w:rPr>
          <w:rFonts w:ascii="Trebuchet MS" w:eastAsia="Times New Roman" w:hAnsi="Trebuchet MS" w:cs="Times New Roman"/>
          <w:b/>
          <w:bCs/>
          <w:color w:val="0A0A0A"/>
          <w:kern w:val="0"/>
          <w14:ligatures w14:val="none"/>
        </w:rPr>
        <w:t>Dear Thomas Jefferson University Colleagues:</w:t>
      </w:r>
    </w:p>
    <w:p w14:paraId="54F2858B" w14:textId="77777777" w:rsidR="00B35F84" w:rsidRPr="00B35F84" w:rsidRDefault="00B35F84" w:rsidP="00B35F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35F84">
        <w:rPr>
          <w:rFonts w:ascii="Trebuchet MS" w:eastAsia="Times New Roman" w:hAnsi="Trebuchet MS" w:cs="Times New Roman"/>
          <w:color w:val="0A0A0A"/>
          <w:kern w:val="0"/>
          <w14:ligatures w14:val="none"/>
        </w:rPr>
        <w:t>On Mar. 26, 2026, Jefferson enterprise leadership sent out a memo regarding discretionary spending, specifically for travel and food. Due to increasing expenses, we all need to do our part to reduce spending in these areas. Considering university mission-specific needs, we have clarified allowable travel policies. Discretionary spending will be closely monitored, and all travel will </w:t>
      </w:r>
      <w:r w:rsidRPr="00B35F84">
        <w:rPr>
          <w:rFonts w:ascii="Trebuchet MS" w:eastAsia="Times New Roman" w:hAnsi="Trebuchet MS" w:cs="Times New Roman"/>
          <w:b/>
          <w:bCs/>
          <w:color w:val="0A0A0A"/>
          <w:kern w:val="0"/>
          <w14:ligatures w14:val="none"/>
        </w:rPr>
        <w:t>require prior approval</w:t>
      </w:r>
      <w:r w:rsidRPr="00B35F84">
        <w:rPr>
          <w:rFonts w:ascii="Trebuchet MS" w:eastAsia="Times New Roman" w:hAnsi="Trebuchet MS" w:cs="Times New Roman"/>
          <w:color w:val="0A0A0A"/>
          <w:kern w:val="0"/>
          <w14:ligatures w14:val="none"/>
        </w:rPr>
        <w:t>.</w:t>
      </w:r>
    </w:p>
    <w:p w14:paraId="76F9F90A" w14:textId="77777777" w:rsidR="00B35F84" w:rsidRPr="00B35F84" w:rsidRDefault="00B35F84" w:rsidP="00B35F8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35F84">
        <w:rPr>
          <w:rFonts w:ascii="Trebuchet MS" w:eastAsia="Times New Roman" w:hAnsi="Trebuchet MS" w:cs="Times New Roman"/>
          <w:color w:val="0A0A0A"/>
          <w:kern w:val="0"/>
          <w14:ligatures w14:val="none"/>
        </w:rPr>
        <w:t>The below guidelines are general categories and still need to fit within department and college budgets. Overall, we will all need to reduce spending in travel and food.</w:t>
      </w:r>
    </w:p>
    <w:p w14:paraId="51AFC695" w14:textId="11FB0463" w:rsidR="00B35F84" w:rsidRPr="00B35F84" w:rsidRDefault="00B35F84" w:rsidP="00B35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F84">
        <w:rPr>
          <w:rFonts w:ascii="Trebuchet MS" w:eastAsia="Times New Roman" w:hAnsi="Trebuchet MS" w:cs="Times New Roman"/>
          <w:b/>
          <w:bCs/>
          <w:color w:val="0A0A0A"/>
          <w:kern w:val="0"/>
          <w14:ligatures w14:val="none"/>
        </w:rPr>
        <w:t>University Allowable Travel Expenses:</w:t>
      </w:r>
    </w:p>
    <w:tbl>
      <w:tblPr>
        <w:tblW w:w="9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B35F84" w:rsidRPr="00B35F84" w14:paraId="77F13EC1" w14:textId="77777777">
        <w:tc>
          <w:tcPr>
            <w:tcW w:w="0" w:type="auto"/>
            <w:tcMar>
              <w:top w:w="15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359BD582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Faculty, leaders, residents and fellows attending professional meetings/conferences for presentations, posters, panels and lectures. These are critical for tenure and promotion. Leaders will have to approve and appropriately distribute travel funds.</w:t>
            </w:r>
          </w:p>
          <w:p w14:paraId="365AA309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Faculty and staff attending professional meetings that are critical to academic operations such as educational delivery, accreditation, compliance, safety, academic finance, clinical site management and international travel regulations.</w:t>
            </w:r>
          </w:p>
          <w:p w14:paraId="4E2D5CB2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Faculty and academic leaders on professional association boards and in leadership positions.</w:t>
            </w:r>
          </w:p>
          <w:p w14:paraId="3D49FCFE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Faculty, leaders and staff travel to develop or implement academic or research partnerships or collaborations that can lead to external funding or increased enrollment. This must be carefully managed.</w:t>
            </w:r>
          </w:p>
          <w:p w14:paraId="5A7B7E6E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Faculty and staff escorting student groups on trips, global experiences or short courses in line with university policies and faculty: student ratios. This should not exceed 1 faculty/staff per 8-15 students dependent on level for undergraduate students, and 1-2 faculty/staff for graduate student group trips.</w:t>
            </w:r>
          </w:p>
          <w:p w14:paraId="4EAE19DA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Leaders, faculty and staff receiving significant awards or honors that enhance the reputation of the university.</w:t>
            </w:r>
          </w:p>
          <w:p w14:paraId="08229C83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All grant-funded travel.</w:t>
            </w:r>
          </w:p>
          <w:p w14:paraId="32DAF8AD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Travel on gift accounts where travel is specified in or an important component of the gift agreement and donor intent.</w:t>
            </w:r>
          </w:p>
          <w:p w14:paraId="1582C956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lastRenderedPageBreak/>
              <w:t>Continuing education conferences or courses needed to maintain professional certification or licensure requirements and dependent on college and department funding. Local conferences are preferred.</w:t>
            </w:r>
          </w:p>
          <w:p w14:paraId="55729C77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Academic leader travel for philanthropy and fundraising purposes.</w:t>
            </w:r>
          </w:p>
          <w:p w14:paraId="28E97239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Food allowance on travel for university employees will follow enterprise policies.</w:t>
            </w:r>
          </w:p>
          <w:p w14:paraId="1ECFCB40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Current activities and spending related to GME will continue as they do now (status quo) until a Collective Bargaining Agreement is reached.</w:t>
            </w:r>
          </w:p>
          <w:p w14:paraId="24B52839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Approved, university-supported student travel.</w:t>
            </w:r>
          </w:p>
          <w:p w14:paraId="54D4E19B" w14:textId="77777777" w:rsidR="00B35F84" w:rsidRPr="00B35F84" w:rsidRDefault="00B35F84" w:rsidP="00B35F84">
            <w:pPr>
              <w:numPr>
                <w:ilvl w:val="0"/>
                <w:numId w:val="1"/>
              </w:numPr>
              <w:spacing w:after="0" w:line="360" w:lineRule="atLeast"/>
              <w:rPr>
                <w:rFonts w:ascii="Aptos" w:eastAsia="Times New Roman" w:hAnsi="Aptos" w:cs="Times New Roman"/>
                <w:color w:val="0A0A0A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Leadership development courses approved by the supervisor and within the department/college budget.</w:t>
            </w:r>
          </w:p>
          <w:p w14:paraId="05DFDB6B" w14:textId="77777777" w:rsidR="00B35F84" w:rsidRPr="00B35F84" w:rsidRDefault="00B35F84" w:rsidP="00B35F84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 xml:space="preserve">A pre-approval process and forms will be rolled out </w:t>
            </w:r>
            <w:proofErr w:type="gramStart"/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in the near future</w:t>
            </w:r>
            <w:proofErr w:type="gramEnd"/>
            <w:r w:rsidRPr="00B35F84">
              <w:rPr>
                <w:rFonts w:ascii="Trebuchet MS" w:eastAsia="Times New Roman" w:hAnsi="Trebuchet MS" w:cs="Times New Roman"/>
                <w:color w:val="0A0A0A"/>
                <w:kern w:val="0"/>
                <w14:ligatures w14:val="none"/>
              </w:rPr>
              <w:t>. We appreciate your attention to this important matter that will assure the financial health of the university and organization. </w:t>
            </w:r>
          </w:p>
        </w:tc>
      </w:tr>
    </w:tbl>
    <w:p w14:paraId="7D017CBA" w14:textId="77777777" w:rsidR="00B35F84" w:rsidRPr="00B35F84" w:rsidRDefault="00B35F84" w:rsidP="00B35F8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9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B35F84" w:rsidRPr="00B35F84" w14:paraId="4D079A59" w14:textId="77777777">
        <w:tc>
          <w:tcPr>
            <w:tcW w:w="0" w:type="auto"/>
            <w:vAlign w:val="center"/>
            <w:hideMark/>
          </w:tcPr>
          <w:p w14:paraId="3D1AED1F" w14:textId="77777777" w:rsidR="00B35F84" w:rsidRPr="00B35F84" w:rsidRDefault="00B35F84" w:rsidP="00B35F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6680A54" w14:textId="77777777" w:rsidR="00020BED" w:rsidRDefault="00020BED"/>
    <w:sectPr w:rsidR="00020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9D1"/>
    <w:multiLevelType w:val="multilevel"/>
    <w:tmpl w:val="1A1E701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num w:numId="1" w16cid:durableId="2098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84"/>
    <w:rsid w:val="00020BED"/>
    <w:rsid w:val="000400D3"/>
    <w:rsid w:val="0004671D"/>
    <w:rsid w:val="000863FB"/>
    <w:rsid w:val="001E2606"/>
    <w:rsid w:val="005249A6"/>
    <w:rsid w:val="005C0367"/>
    <w:rsid w:val="00727B30"/>
    <w:rsid w:val="00832617"/>
    <w:rsid w:val="00A4280A"/>
    <w:rsid w:val="00A53839"/>
    <w:rsid w:val="00B35F84"/>
    <w:rsid w:val="00C32904"/>
    <w:rsid w:val="00CE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A4390"/>
  <w15:chartTrackingRefBased/>
  <w15:docId w15:val="{2A0DFA79-E4A6-CB41-918D-014EDA1C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84"/>
    <w:rPr>
      <w:b/>
      <w:bCs/>
      <w:smallCaps/>
      <w:color w:val="0F4761" w:themeColor="accent1" w:themeShade="BF"/>
      <w:spacing w:val="5"/>
    </w:rPr>
  </w:style>
  <w:style w:type="paragraph" w:customStyle="1" w:styleId="msonormaltable0">
    <w:name w:val="msonormaltable0"/>
    <w:basedOn w:val="Normal"/>
    <w:rsid w:val="00B35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35F84"/>
  </w:style>
  <w:style w:type="character" w:customStyle="1" w:styleId="outlook-search-highlight">
    <w:name w:val="outlook-search-highlight"/>
    <w:basedOn w:val="DefaultParagraphFont"/>
    <w:rsid w:val="00B35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Bethann Nobel</dc:creator>
  <cp:keywords/>
  <dc:description/>
  <cp:lastModifiedBy>Bethann Nobel</cp:lastModifiedBy>
  <cp:revision>2</cp:revision>
  <dcterms:created xsi:type="dcterms:W3CDTF">2026-06-10T15:20:00Z</dcterms:created>
  <dcterms:modified xsi:type="dcterms:W3CDTF">2026-06-10T15:20:00Z</dcterms:modified>
</cp:coreProperties>
</file>