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Практическое задание № 4</w:t>
      </w:r>
    </w:p>
    <w:p>
      <w:pPr>
        <w:jc w:val="center"/>
      </w:pPr>
      <w:r>
        <w:rPr>
          <w:b/>
        </w:rPr>
        <w:t>Сравнительный анализ методов текстовой стеганографии</w:t>
      </w:r>
    </w:p>
    <w:p>
      <w:pPr>
        <w:pStyle w:val="Heading1"/>
      </w:pPr>
      <w:r>
        <w:t>1. Цель работы</w:t>
      </w:r>
    </w:p>
    <w:p>
      <w:r>
        <w:t>Провести сравнительный анализ метода замены пробелов (Space Steganography) и метода использования невидимых символов (Zero-Width Characters Steganography).</w:t>
      </w:r>
    </w:p>
    <w:p>
      <w:pPr>
        <w:pStyle w:val="Heading1"/>
      </w:pPr>
      <w:r>
        <w:t>2. Объекты и условия эксперимента</w:t>
      </w:r>
    </w:p>
    <w:p>
      <w:r>
        <w:t>Проверены русский и английский языки, форматы HTML и PDF, а также короткие, средние и длинные скрытые сообщения.</w:t>
      </w:r>
    </w:p>
    <w:p>
      <w:r>
        <w:t>В Space один пробел кодирует бит 0, два пробела — бит 1. В Zero-Width используются U+200B для 0 и U+200C для 1.</w:t>
      </w:r>
    </w:p>
    <w:p>
      <w:pPr>
        <w:pStyle w:val="Heading1"/>
      </w:pPr>
      <w:r>
        <w:t>3. Результаты эксперимента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Язык</w:t>
            </w:r>
          </w:p>
        </w:tc>
        <w:tc>
          <w:tcPr>
            <w:tcW w:type="dxa" w:w="1440"/>
          </w:tcPr>
          <w:p>
            <w:r>
              <w:t>Размер</w:t>
            </w:r>
          </w:p>
        </w:tc>
        <w:tc>
          <w:tcPr>
            <w:tcW w:type="dxa" w:w="1440"/>
          </w:tcPr>
          <w:p>
            <w:r>
              <w:t>Space HTML</w:t>
            </w:r>
          </w:p>
        </w:tc>
        <w:tc>
          <w:tcPr>
            <w:tcW w:type="dxa" w:w="1440"/>
          </w:tcPr>
          <w:p>
            <w:r>
              <w:t>Space PDF</w:t>
            </w:r>
          </w:p>
        </w:tc>
        <w:tc>
          <w:tcPr>
            <w:tcW w:type="dxa" w:w="1440"/>
          </w:tcPr>
          <w:p>
            <w:r>
              <w:t>ZW HTML</w:t>
            </w:r>
          </w:p>
        </w:tc>
        <w:tc>
          <w:tcPr>
            <w:tcW w:type="dxa" w:w="1440"/>
          </w:tcPr>
          <w:p>
            <w:r>
              <w:t>ZW PDF</w:t>
            </w:r>
          </w:p>
        </w:tc>
      </w:tr>
      <w:tr>
        <w:tc>
          <w:tcPr>
            <w:tcW w:type="dxa" w:w="1440"/>
          </w:tcPr>
          <w:p>
            <w:r>
              <w:t>Русский</w:t>
            </w:r>
          </w:p>
        </w:tc>
        <w:tc>
          <w:tcPr>
            <w:tcW w:type="dxa" w:w="1440"/>
          </w:tcPr>
          <w:p>
            <w:r>
              <w:t>Короткое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Русский</w:t>
            </w:r>
          </w:p>
        </w:tc>
        <w:tc>
          <w:tcPr>
            <w:tcW w:type="dxa" w:w="1440"/>
          </w:tcPr>
          <w:p>
            <w:r>
              <w:t>Среднее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Русский</w:t>
            </w:r>
          </w:p>
        </w:tc>
        <w:tc>
          <w:tcPr>
            <w:tcW w:type="dxa" w:w="1440"/>
          </w:tcPr>
          <w:p>
            <w:r>
              <w:t>Длинное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English</w:t>
            </w:r>
          </w:p>
        </w:tc>
        <w:tc>
          <w:tcPr>
            <w:tcW w:type="dxa" w:w="1440"/>
          </w:tcPr>
          <w:p>
            <w:r>
              <w:t>Короткое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English</w:t>
            </w:r>
          </w:p>
        </w:tc>
        <w:tc>
          <w:tcPr>
            <w:tcW w:type="dxa" w:w="1440"/>
          </w:tcPr>
          <w:p>
            <w:r>
              <w:t>Среднее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English</w:t>
            </w:r>
          </w:p>
        </w:tc>
        <w:tc>
          <w:tcPr>
            <w:tcW w:type="dxa" w:w="1440"/>
          </w:tcPr>
          <w:p>
            <w:r>
              <w:t>Длинное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</w:tbl>
    <w:p>
      <w:pPr>
        <w:pStyle w:val="Heading1"/>
      </w:pPr>
      <w:r>
        <w:t>4. Графическое представление результатов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uc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 — Успешность извлечения скрытого сообщения.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iz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2 — Изменение размера текста при встраивании.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leng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3 — Зависимость результата от длины сообщения.</w:t>
      </w:r>
    </w:p>
    <w:p>
      <w:pPr>
        <w:pStyle w:val="Heading1"/>
      </w:pPr>
      <w:r>
        <w:t>5. Сравнительный анализ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Критерий</w:t>
            </w:r>
          </w:p>
        </w:tc>
        <w:tc>
          <w:tcPr>
            <w:tcW w:type="dxa" w:w="2880"/>
          </w:tcPr>
          <w:p>
            <w:r>
              <w:t>Space Steganography</w:t>
            </w:r>
          </w:p>
        </w:tc>
        <w:tc>
          <w:tcPr>
            <w:tcW w:type="dxa" w:w="2880"/>
          </w:tcPr>
          <w:p>
            <w:r>
              <w:t>Zero-Width Characters</w:t>
            </w:r>
          </w:p>
        </w:tc>
      </w:tr>
      <w:tr>
        <w:tc>
          <w:tcPr>
            <w:tcW w:type="dxa" w:w="2880"/>
          </w:tcPr>
          <w:p>
            <w:r>
              <w:t>Степень заметности</w:t>
            </w:r>
          </w:p>
        </w:tc>
        <w:tc>
          <w:tcPr>
            <w:tcW w:type="dxa" w:w="2880"/>
          </w:tcPr>
          <w:p>
            <w:r>
              <w:t>Изменение количества пробелов можно обнаружить при анализе текста.</w:t>
            </w:r>
          </w:p>
        </w:tc>
        <w:tc>
          <w:tcPr>
            <w:tcW w:type="dxa" w:w="2880"/>
          </w:tcPr>
          <w:p>
            <w:r>
              <w:t>Невидимые символы не отображаются при обычном просмотре.</w:t>
            </w:r>
          </w:p>
        </w:tc>
      </w:tr>
      <w:tr>
        <w:tc>
          <w:tcPr>
            <w:tcW w:type="dxa" w:w="2880"/>
          </w:tcPr>
          <w:p>
            <w:r>
              <w:t>Качество исходного текста</w:t>
            </w:r>
          </w:p>
        </w:tc>
        <w:tc>
          <w:tcPr>
            <w:tcW w:type="dxa" w:w="2880"/>
          </w:tcPr>
          <w:p>
            <w:r>
              <w:t>Внешний вид почти не меняется, но количество пробелов изменяется.</w:t>
            </w:r>
          </w:p>
        </w:tc>
        <w:tc>
          <w:tcPr>
            <w:tcW w:type="dxa" w:w="2880"/>
          </w:tcPr>
          <w:p>
            <w:r>
              <w:t>Внешний вид текста практически не меняется.</w:t>
            </w:r>
          </w:p>
        </w:tc>
      </w:tr>
      <w:tr>
        <w:tc>
          <w:tcPr>
            <w:tcW w:type="dxa" w:w="2880"/>
          </w:tcPr>
          <w:p>
            <w:r>
              <w:t>Безопасность</w:t>
            </w:r>
          </w:p>
        </w:tc>
        <w:tc>
          <w:tcPr>
            <w:tcW w:type="dxa" w:w="2880"/>
          </w:tcPr>
          <w:p>
            <w:r>
              <w:t>Зависит от сохранения структуры пробелов и возможности их анализа.</w:t>
            </w:r>
          </w:p>
        </w:tc>
        <w:tc>
          <w:tcPr>
            <w:tcW w:type="dxa" w:w="2880"/>
          </w:tcPr>
          <w:p>
            <w:r>
              <w:t>Зависит от сохранения Unicode-символов и возможности их обнаружения.</w:t>
            </w:r>
          </w:p>
        </w:tc>
      </w:tr>
      <w:tr>
        <w:tc>
          <w:tcPr>
            <w:tcW w:type="dxa" w:w="2880"/>
          </w:tcPr>
          <w:p>
            <w:r>
              <w:t>Практическая вместимость</w:t>
            </w:r>
          </w:p>
        </w:tc>
        <w:tc>
          <w:tcPr>
            <w:tcW w:type="dxa" w:w="2880"/>
          </w:tcPr>
          <w:p>
            <w:r>
              <w:t>Определяется количеством промежутков между словами.</w:t>
            </w:r>
          </w:p>
        </w:tc>
        <w:tc>
          <w:tcPr>
            <w:tcW w:type="dxa" w:w="2880"/>
          </w:tcPr>
          <w:p>
            <w:r>
              <w:t>Определяется количеством доступных позиций для вставки символов.</w:t>
            </w:r>
          </w:p>
        </w:tc>
      </w:tr>
    </w:tbl>
    <w:p>
      <w:pPr>
        <w:pStyle w:val="Heading1"/>
      </w:pPr>
      <w:r>
        <w:t>6. Вывод</w:t>
      </w:r>
    </w:p>
    <w:p>
      <w:r>
        <w:t>Оба метода позволяют скрывать текстовую информацию. Space Steganography основан на изменении количества пробелов и поэтому требует сохранения исходной последовательности пробелов. Zero-Width использует невидимые Unicode-символы и практически не изменяет обычный вид текста.</w:t>
      </w:r>
    </w:p>
    <w:p>
      <w:r>
        <w:t>Результаты экспериментов показывают зависимость методов от формата документа и длины скрываемого сообщения. Выбор конкретного метода определяется требованиями к заметности, сохранению текста и обработке документа.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