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4E7D5" w14:textId="77777777" w:rsidR="00DD2957" w:rsidRDefault="00D71816">
      <w:pPr>
        <w:spacing w:before="160" w:after="60" w:line="270" w:lineRule="exact"/>
      </w:pPr>
      <w:r>
        <w:rPr>
          <w:rFonts w:ascii="Calibri" w:hAnsi="Calibri"/>
          <w:b/>
        </w:rPr>
        <w:t>1.  Method &amp; Sample</w:t>
      </w:r>
    </w:p>
    <w:p w14:paraId="602EABB8" w14:textId="77777777" w:rsidR="00DD2957" w:rsidRDefault="00D71816">
      <w:pPr>
        <w:spacing w:after="100" w:line="270" w:lineRule="exact"/>
      </w:pPr>
      <w:r>
        <w:rPr>
          <w:rFonts w:ascii="Calibri" w:hAnsi="Calibri"/>
          <w:sz w:val="21"/>
        </w:rPr>
        <w:t xml:space="preserve">We apply two post-hoc explanation methods to a stratified sample of </w:t>
      </w:r>
      <w:r>
        <w:rPr>
          <w:rFonts w:ascii="Calibri" w:hAnsi="Calibri"/>
          <w:b/>
          <w:sz w:val="21"/>
        </w:rPr>
        <w:t>500</w:t>
      </w:r>
      <w:r>
        <w:rPr>
          <w:rFonts w:ascii="Calibri" w:hAnsi="Calibri"/>
          <w:sz w:val="21"/>
        </w:rPr>
        <w:t xml:space="preserve"> test instances (376 income ≤ 50K / 124 &gt; 50K, preserving the 75.2/24.8 class split). </w:t>
      </w:r>
      <w:r>
        <w:rPr>
          <w:rFonts w:ascii="Calibri" w:hAnsi="Calibri"/>
          <w:b/>
          <w:sz w:val="21"/>
        </w:rPr>
        <w:t>SHAP</w:t>
      </w:r>
      <w:r>
        <w:rPr>
          <w:rFonts w:ascii="Calibri" w:hAnsi="Calibri"/>
          <w:sz w:val="21"/>
        </w:rPr>
        <w:t xml:space="preserve"> uses TreeExplainer, computing exact Shapley values for the Random Forest and extracting the po</w:t>
      </w:r>
      <w:r>
        <w:rPr>
          <w:rFonts w:ascii="Calibri" w:hAnsi="Calibri"/>
          <w:sz w:val="21"/>
        </w:rPr>
        <w:t xml:space="preserve">sitive-class slice → (500 × 14) matrix. </w:t>
      </w:r>
      <w:r>
        <w:rPr>
          <w:rFonts w:ascii="Calibri" w:hAnsi="Calibri"/>
          <w:b/>
          <w:sz w:val="21"/>
        </w:rPr>
        <w:t>LIME</w:t>
      </w:r>
      <w:r>
        <w:rPr>
          <w:rFonts w:ascii="Calibri" w:hAnsi="Calibri"/>
          <w:sz w:val="21"/>
        </w:rPr>
        <w:t xml:space="preserve"> uses LimeTabularExplainer fitted on the full 36,155-row training set; for each instance a locally-weighted ridge model is fitted over 1,000 perturbations, with weights extracted via feature index from local_exp[</w:t>
      </w:r>
      <w:r>
        <w:rPr>
          <w:rFonts w:ascii="Calibri" w:hAnsi="Calibri"/>
          <w:sz w:val="21"/>
        </w:rPr>
        <w:t>1] → (500 × 14) matrix. Both notebooks share sample_indices.npy to guarantee identical instances.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1916"/>
        <w:gridCol w:w="1916"/>
        <w:gridCol w:w="1916"/>
        <w:gridCol w:w="1916"/>
      </w:tblGrid>
      <w:tr w:rsidR="00DD2957" w14:paraId="571704A6" w14:textId="77777777">
        <w:tc>
          <w:tcPr>
            <w:tcW w:w="1916" w:type="dxa"/>
            <w:shd w:val="clear" w:color="auto" w:fill="E8EDF9"/>
          </w:tcPr>
          <w:p w14:paraId="797EADC6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color w:val="1E3FA0"/>
                <w:sz w:val="17"/>
              </w:rPr>
              <w:t>SHAP matrix</w:t>
            </w:r>
          </w:p>
        </w:tc>
        <w:tc>
          <w:tcPr>
            <w:tcW w:w="1916" w:type="dxa"/>
            <w:shd w:val="clear" w:color="auto" w:fill="E8EDF9"/>
          </w:tcPr>
          <w:p w14:paraId="0BDD6F68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color w:val="1E3FA0"/>
                <w:sz w:val="17"/>
              </w:rPr>
              <w:t>SHAP mean |v|</w:t>
            </w:r>
          </w:p>
        </w:tc>
        <w:tc>
          <w:tcPr>
            <w:tcW w:w="1916" w:type="dxa"/>
            <w:shd w:val="clear" w:color="auto" w:fill="E8EDF9"/>
          </w:tcPr>
          <w:p w14:paraId="4907A09A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color w:val="1E3FA0"/>
                <w:sz w:val="17"/>
              </w:rPr>
              <w:t>LIME matrix</w:t>
            </w:r>
          </w:p>
        </w:tc>
        <w:tc>
          <w:tcPr>
            <w:tcW w:w="1916" w:type="dxa"/>
            <w:shd w:val="clear" w:color="auto" w:fill="E8EDF9"/>
          </w:tcPr>
          <w:p w14:paraId="44A91A26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color w:val="1E3FA0"/>
                <w:sz w:val="17"/>
              </w:rPr>
              <w:t>LIME mean |w|</w:t>
            </w:r>
          </w:p>
        </w:tc>
        <w:tc>
          <w:tcPr>
            <w:tcW w:w="1916" w:type="dxa"/>
            <w:shd w:val="clear" w:color="auto" w:fill="E8EDF9"/>
          </w:tcPr>
          <w:p w14:paraId="265CF45B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color w:val="1E3FA0"/>
                <w:sz w:val="17"/>
              </w:rPr>
              <w:t>Rank diff (mean)</w:t>
            </w:r>
          </w:p>
        </w:tc>
      </w:tr>
      <w:tr w:rsidR="00DD2957" w14:paraId="04058E5F" w14:textId="77777777">
        <w:tc>
          <w:tcPr>
            <w:tcW w:w="1916" w:type="dxa"/>
          </w:tcPr>
          <w:p w14:paraId="291A39FC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sz w:val="20"/>
              </w:rPr>
              <w:t>(500 × 14)</w:t>
            </w:r>
          </w:p>
        </w:tc>
        <w:tc>
          <w:tcPr>
            <w:tcW w:w="1916" w:type="dxa"/>
          </w:tcPr>
          <w:p w14:paraId="6E2F3EAD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sz w:val="20"/>
              </w:rPr>
              <w:t>0.0318</w:t>
            </w:r>
          </w:p>
        </w:tc>
        <w:tc>
          <w:tcPr>
            <w:tcW w:w="1916" w:type="dxa"/>
          </w:tcPr>
          <w:p w14:paraId="258473A7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sz w:val="20"/>
              </w:rPr>
              <w:t>(500 × 14)</w:t>
            </w:r>
          </w:p>
        </w:tc>
        <w:tc>
          <w:tcPr>
            <w:tcW w:w="1916" w:type="dxa"/>
          </w:tcPr>
          <w:p w14:paraId="65558A6F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sz w:val="20"/>
              </w:rPr>
              <w:t>0.0789  (2.5× SHAP)</w:t>
            </w:r>
          </w:p>
        </w:tc>
        <w:tc>
          <w:tcPr>
            <w:tcW w:w="1916" w:type="dxa"/>
          </w:tcPr>
          <w:p w14:paraId="1DACAA14" w14:textId="77777777" w:rsidR="00DD2957" w:rsidRDefault="00D71816">
            <w:pPr>
              <w:spacing w:after="20" w:line="240" w:lineRule="exact"/>
            </w:pPr>
            <w:r>
              <w:rPr>
                <w:rFonts w:ascii="Calibri" w:hAnsi="Calibri"/>
                <w:b/>
                <w:sz w:val="20"/>
              </w:rPr>
              <w:t>3.00 / 14</w:t>
            </w:r>
          </w:p>
        </w:tc>
      </w:tr>
    </w:tbl>
    <w:p w14:paraId="64338277" w14:textId="77777777" w:rsidR="00DD2957" w:rsidRDefault="00DD2957">
      <w:pPr>
        <w:spacing w:after="80"/>
      </w:pPr>
    </w:p>
    <w:p w14:paraId="2720F2AA" w14:textId="77777777" w:rsidR="00DD2957" w:rsidRDefault="00D71816">
      <w:pPr>
        <w:spacing w:before="80" w:after="60" w:line="270" w:lineRule="exact"/>
      </w:pPr>
      <w:r>
        <w:rPr>
          <w:rFonts w:ascii="Calibri" w:hAnsi="Calibri"/>
          <w:b/>
        </w:rPr>
        <w:t>2. 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09"/>
        <w:gridCol w:w="5318"/>
      </w:tblGrid>
      <w:tr w:rsidR="00DD2957" w14:paraId="6268EBD1" w14:textId="77777777">
        <w:tc>
          <w:tcPr>
            <w:tcW w:w="4309" w:type="dxa"/>
          </w:tcPr>
          <w:p w14:paraId="360A18A8" w14:textId="77777777" w:rsidR="00DD2957" w:rsidRDefault="00D71816"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 xml:space="preserve">Feature </w:t>
            </w:r>
            <w:r>
              <w:rPr>
                <w:rFonts w:ascii="Calibri" w:hAnsi="Calibri"/>
                <w:b/>
                <w:sz w:val="19"/>
              </w:rPr>
              <w:t>Ranking: SHAP vs. LIME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72"/>
              <w:gridCol w:w="1008"/>
              <w:gridCol w:w="1003"/>
              <w:gridCol w:w="1000"/>
            </w:tblGrid>
            <w:tr w:rsidR="00D71816" w14:paraId="34227EED" w14:textId="77777777">
              <w:tc>
                <w:tcPr>
                  <w:tcW w:w="1077" w:type="dxa"/>
                  <w:shd w:val="clear" w:color="auto" w:fill="E8EDF9"/>
                </w:tcPr>
                <w:p w14:paraId="3C60C803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b/>
                      <w:color w:val="1E3FA0"/>
                      <w:sz w:val="16"/>
                    </w:rPr>
                    <w:t>Feature</w:t>
                  </w:r>
                </w:p>
              </w:tc>
              <w:tc>
                <w:tcPr>
                  <w:tcW w:w="1077" w:type="dxa"/>
                  <w:shd w:val="clear" w:color="auto" w:fill="E8EDF9"/>
                </w:tcPr>
                <w:p w14:paraId="67E5F2E7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1E3FA0"/>
                      <w:sz w:val="16"/>
                    </w:rPr>
                    <w:t>SHAP</w:t>
                  </w:r>
                </w:p>
              </w:tc>
              <w:tc>
                <w:tcPr>
                  <w:tcW w:w="1077" w:type="dxa"/>
                  <w:shd w:val="clear" w:color="auto" w:fill="E8EDF9"/>
                </w:tcPr>
                <w:p w14:paraId="7BA4839F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1E3FA0"/>
                      <w:sz w:val="16"/>
                    </w:rPr>
                    <w:t>LIME</w:t>
                  </w:r>
                </w:p>
              </w:tc>
              <w:tc>
                <w:tcPr>
                  <w:tcW w:w="1077" w:type="dxa"/>
                  <w:shd w:val="clear" w:color="auto" w:fill="E8EDF9"/>
                </w:tcPr>
                <w:p w14:paraId="715A66B1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1E3FA0"/>
                      <w:sz w:val="16"/>
                    </w:rPr>
                    <w:t>|Δ|</w:t>
                  </w:r>
                </w:p>
              </w:tc>
            </w:tr>
            <w:tr w:rsidR="00D71816" w14:paraId="4AB1BEBF" w14:textId="77777777">
              <w:tc>
                <w:tcPr>
                  <w:tcW w:w="1077" w:type="dxa"/>
                </w:tcPr>
                <w:p w14:paraId="2A6C0FDC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relationship</w:t>
                  </w:r>
                </w:p>
              </w:tc>
              <w:tc>
                <w:tcPr>
                  <w:tcW w:w="1077" w:type="dxa"/>
                </w:tcPr>
                <w:p w14:paraId="0EA92286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</w:t>
                  </w:r>
                </w:p>
              </w:tc>
              <w:tc>
                <w:tcPr>
                  <w:tcW w:w="1077" w:type="dxa"/>
                </w:tcPr>
                <w:p w14:paraId="099E199E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6</w:t>
                  </w:r>
                </w:p>
              </w:tc>
              <w:tc>
                <w:tcPr>
                  <w:tcW w:w="1077" w:type="dxa"/>
                </w:tcPr>
                <w:p w14:paraId="114978F3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C0321B"/>
                      <w:sz w:val="17"/>
                    </w:rPr>
                    <w:t>5</w:t>
                  </w:r>
                </w:p>
              </w:tc>
            </w:tr>
            <w:tr w:rsidR="00D71816" w14:paraId="7F785173" w14:textId="77777777">
              <w:tc>
                <w:tcPr>
                  <w:tcW w:w="1077" w:type="dxa"/>
                </w:tcPr>
                <w:p w14:paraId="1FEF6F45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education-num</w:t>
                  </w:r>
                </w:p>
              </w:tc>
              <w:tc>
                <w:tcPr>
                  <w:tcW w:w="1077" w:type="dxa"/>
                </w:tcPr>
                <w:p w14:paraId="3F8C614A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2</w:t>
                  </w:r>
                </w:p>
              </w:tc>
              <w:tc>
                <w:tcPr>
                  <w:tcW w:w="1077" w:type="dxa"/>
                </w:tcPr>
                <w:p w14:paraId="077D28B5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5</w:t>
                  </w:r>
                </w:p>
              </w:tc>
              <w:tc>
                <w:tcPr>
                  <w:tcW w:w="1077" w:type="dxa"/>
                </w:tcPr>
                <w:p w14:paraId="678F4C8B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3</w:t>
                  </w:r>
                </w:p>
              </w:tc>
            </w:tr>
            <w:tr w:rsidR="00D71816" w14:paraId="740312EF" w14:textId="77777777">
              <w:tc>
                <w:tcPr>
                  <w:tcW w:w="1077" w:type="dxa"/>
                </w:tcPr>
                <w:p w14:paraId="45D9AAA1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marital-status</w:t>
                  </w:r>
                </w:p>
              </w:tc>
              <w:tc>
                <w:tcPr>
                  <w:tcW w:w="1077" w:type="dxa"/>
                </w:tcPr>
                <w:p w14:paraId="4A73B416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3</w:t>
                  </w:r>
                </w:p>
              </w:tc>
              <w:tc>
                <w:tcPr>
                  <w:tcW w:w="1077" w:type="dxa"/>
                </w:tcPr>
                <w:p w14:paraId="53D0826A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4</w:t>
                  </w:r>
                </w:p>
              </w:tc>
              <w:tc>
                <w:tcPr>
                  <w:tcW w:w="1077" w:type="dxa"/>
                </w:tcPr>
                <w:p w14:paraId="0127EEDC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</w:t>
                  </w:r>
                </w:p>
              </w:tc>
            </w:tr>
            <w:tr w:rsidR="00D71816" w14:paraId="1438FDED" w14:textId="77777777">
              <w:tc>
                <w:tcPr>
                  <w:tcW w:w="1077" w:type="dxa"/>
                </w:tcPr>
                <w:p w14:paraId="34FA50B0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age</w:t>
                  </w:r>
                </w:p>
              </w:tc>
              <w:tc>
                <w:tcPr>
                  <w:tcW w:w="1077" w:type="dxa"/>
                </w:tcPr>
                <w:p w14:paraId="01F64AAE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4</w:t>
                  </w:r>
                </w:p>
              </w:tc>
              <w:tc>
                <w:tcPr>
                  <w:tcW w:w="1077" w:type="dxa"/>
                </w:tcPr>
                <w:p w14:paraId="609BA769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7</w:t>
                  </w:r>
                  <w:bookmarkStart w:id="0" w:name="_GoBack"/>
                  <w:bookmarkEnd w:id="0"/>
                </w:p>
              </w:tc>
              <w:tc>
                <w:tcPr>
                  <w:tcW w:w="1077" w:type="dxa"/>
                </w:tcPr>
                <w:p w14:paraId="4E725BCF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3</w:t>
                  </w:r>
                </w:p>
              </w:tc>
            </w:tr>
            <w:tr w:rsidR="00D71816" w14:paraId="2E5B146E" w14:textId="77777777">
              <w:tc>
                <w:tcPr>
                  <w:tcW w:w="1077" w:type="dxa"/>
                </w:tcPr>
                <w:p w14:paraId="69722BE3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capital-gain</w:t>
                  </w:r>
                </w:p>
              </w:tc>
              <w:tc>
                <w:tcPr>
                  <w:tcW w:w="1077" w:type="dxa"/>
                </w:tcPr>
                <w:p w14:paraId="5C0A858B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5</w:t>
                  </w:r>
                </w:p>
              </w:tc>
              <w:tc>
                <w:tcPr>
                  <w:tcW w:w="1077" w:type="dxa"/>
                </w:tcPr>
                <w:p w14:paraId="1AB21CC9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</w:t>
                  </w:r>
                </w:p>
              </w:tc>
              <w:tc>
                <w:tcPr>
                  <w:tcW w:w="1077" w:type="dxa"/>
                </w:tcPr>
                <w:p w14:paraId="3E070517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4</w:t>
                  </w:r>
                </w:p>
              </w:tc>
            </w:tr>
            <w:tr w:rsidR="00D71816" w14:paraId="2466203E" w14:textId="77777777">
              <w:tc>
                <w:tcPr>
                  <w:tcW w:w="1077" w:type="dxa"/>
                </w:tcPr>
                <w:p w14:paraId="772B87F7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hours-per-week</w:t>
                  </w:r>
                </w:p>
              </w:tc>
              <w:tc>
                <w:tcPr>
                  <w:tcW w:w="1077" w:type="dxa"/>
                </w:tcPr>
                <w:p w14:paraId="5C0BFDEC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6</w:t>
                  </w:r>
                </w:p>
              </w:tc>
              <w:tc>
                <w:tcPr>
                  <w:tcW w:w="1077" w:type="dxa"/>
                </w:tcPr>
                <w:p w14:paraId="531935DA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3</w:t>
                  </w:r>
                </w:p>
              </w:tc>
              <w:tc>
                <w:tcPr>
                  <w:tcW w:w="1077" w:type="dxa"/>
                </w:tcPr>
                <w:p w14:paraId="0933D459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3</w:t>
                  </w:r>
                </w:p>
              </w:tc>
            </w:tr>
            <w:tr w:rsidR="00D71816" w14:paraId="74377683" w14:textId="77777777">
              <w:tc>
                <w:tcPr>
                  <w:tcW w:w="1077" w:type="dxa"/>
                </w:tcPr>
                <w:p w14:paraId="7CEFB00E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occupation</w:t>
                  </w:r>
                </w:p>
              </w:tc>
              <w:tc>
                <w:tcPr>
                  <w:tcW w:w="1077" w:type="dxa"/>
                </w:tcPr>
                <w:p w14:paraId="1241F882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7</w:t>
                  </w:r>
                </w:p>
              </w:tc>
              <w:tc>
                <w:tcPr>
                  <w:tcW w:w="1077" w:type="dxa"/>
                </w:tcPr>
                <w:p w14:paraId="07E74A9A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11</w:t>
                  </w:r>
                </w:p>
              </w:tc>
              <w:tc>
                <w:tcPr>
                  <w:tcW w:w="1077" w:type="dxa"/>
                </w:tcPr>
                <w:p w14:paraId="4F25B256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4</w:t>
                  </w:r>
                </w:p>
              </w:tc>
            </w:tr>
            <w:tr w:rsidR="00D71816" w14:paraId="4BE9A63F" w14:textId="77777777">
              <w:tc>
                <w:tcPr>
                  <w:tcW w:w="1077" w:type="dxa"/>
                </w:tcPr>
                <w:p w14:paraId="0ECA87AA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sex</w:t>
                  </w:r>
                </w:p>
              </w:tc>
              <w:tc>
                <w:tcPr>
                  <w:tcW w:w="1077" w:type="dxa"/>
                </w:tcPr>
                <w:p w14:paraId="0AC332D8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8</w:t>
                  </w:r>
                </w:p>
              </w:tc>
              <w:tc>
                <w:tcPr>
                  <w:tcW w:w="1077" w:type="dxa"/>
                </w:tcPr>
                <w:p w14:paraId="7D8230C7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10</w:t>
                  </w:r>
                </w:p>
              </w:tc>
              <w:tc>
                <w:tcPr>
                  <w:tcW w:w="1077" w:type="dxa"/>
                </w:tcPr>
                <w:p w14:paraId="069637DC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2</w:t>
                  </w:r>
                </w:p>
              </w:tc>
            </w:tr>
            <w:tr w:rsidR="00D71816" w14:paraId="296563A0" w14:textId="77777777">
              <w:tc>
                <w:tcPr>
                  <w:tcW w:w="1077" w:type="dxa"/>
                </w:tcPr>
                <w:p w14:paraId="5D9BA8FC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education</w:t>
                  </w:r>
                </w:p>
              </w:tc>
              <w:tc>
                <w:tcPr>
                  <w:tcW w:w="1077" w:type="dxa"/>
                </w:tcPr>
                <w:p w14:paraId="37AEAD2E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9</w:t>
                  </w:r>
                </w:p>
              </w:tc>
              <w:tc>
                <w:tcPr>
                  <w:tcW w:w="1077" w:type="dxa"/>
                </w:tcPr>
                <w:p w14:paraId="43368B30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9</w:t>
                  </w:r>
                </w:p>
              </w:tc>
              <w:tc>
                <w:tcPr>
                  <w:tcW w:w="1077" w:type="dxa"/>
                </w:tcPr>
                <w:p w14:paraId="1E86833C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0</w:t>
                  </w:r>
                </w:p>
              </w:tc>
            </w:tr>
            <w:tr w:rsidR="00D71816" w14:paraId="3094AAA9" w14:textId="77777777">
              <w:tc>
                <w:tcPr>
                  <w:tcW w:w="1077" w:type="dxa"/>
                </w:tcPr>
                <w:p w14:paraId="31ABA7E6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capital-loss</w:t>
                  </w:r>
                </w:p>
              </w:tc>
              <w:tc>
                <w:tcPr>
                  <w:tcW w:w="1077" w:type="dxa"/>
                </w:tcPr>
                <w:p w14:paraId="2154F3EE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10</w:t>
                  </w:r>
                </w:p>
              </w:tc>
              <w:tc>
                <w:tcPr>
                  <w:tcW w:w="1077" w:type="dxa"/>
                </w:tcPr>
                <w:p w14:paraId="531EAEFA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2</w:t>
                  </w:r>
                </w:p>
              </w:tc>
              <w:tc>
                <w:tcPr>
                  <w:tcW w:w="1077" w:type="dxa"/>
                </w:tcPr>
                <w:p w14:paraId="5B2B8B87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C0321B"/>
                      <w:sz w:val="17"/>
                    </w:rPr>
                    <w:t>8</w:t>
                  </w:r>
                </w:p>
              </w:tc>
            </w:tr>
            <w:tr w:rsidR="00D71816" w14:paraId="528E48CA" w14:textId="77777777">
              <w:tc>
                <w:tcPr>
                  <w:tcW w:w="1077" w:type="dxa"/>
                </w:tcPr>
                <w:p w14:paraId="5263EF75" w14:textId="77777777" w:rsidR="00DD2957" w:rsidRDefault="00D71816">
                  <w:pPr>
                    <w:spacing w:after="20" w:line="240" w:lineRule="exact"/>
                  </w:pPr>
                  <w:proofErr w:type="spellStart"/>
                  <w:r>
                    <w:rPr>
                      <w:rFonts w:ascii="Calibri" w:hAnsi="Calibri"/>
                      <w:sz w:val="17"/>
                    </w:rPr>
                    <w:t>fnlwgt</w:t>
                  </w:r>
                  <w:proofErr w:type="spellEnd"/>
                </w:p>
              </w:tc>
              <w:tc>
                <w:tcPr>
                  <w:tcW w:w="1077" w:type="dxa"/>
                </w:tcPr>
                <w:p w14:paraId="5EE64214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11</w:t>
                  </w:r>
                </w:p>
              </w:tc>
              <w:tc>
                <w:tcPr>
                  <w:tcW w:w="1077" w:type="dxa"/>
                </w:tcPr>
                <w:p w14:paraId="4281ECA8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12</w:t>
                  </w:r>
                </w:p>
              </w:tc>
              <w:tc>
                <w:tcPr>
                  <w:tcW w:w="1077" w:type="dxa"/>
                </w:tcPr>
                <w:p w14:paraId="0D60B862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</w:t>
                  </w:r>
                </w:p>
              </w:tc>
            </w:tr>
            <w:tr w:rsidR="00D71816" w14:paraId="3B200A45" w14:textId="77777777">
              <w:tc>
                <w:tcPr>
                  <w:tcW w:w="1077" w:type="dxa"/>
                </w:tcPr>
                <w:p w14:paraId="378B4846" w14:textId="77777777" w:rsidR="00DD2957" w:rsidRDefault="00D71816">
                  <w:pPr>
                    <w:spacing w:after="20" w:line="240" w:lineRule="exact"/>
                  </w:pPr>
                  <w:proofErr w:type="spellStart"/>
                  <w:r>
                    <w:rPr>
                      <w:rFonts w:ascii="Calibri" w:hAnsi="Calibri"/>
                      <w:sz w:val="17"/>
                    </w:rPr>
                    <w:t>workclass</w:t>
                  </w:r>
                  <w:proofErr w:type="spellEnd"/>
                </w:p>
              </w:tc>
              <w:tc>
                <w:tcPr>
                  <w:tcW w:w="1077" w:type="dxa"/>
                </w:tcPr>
                <w:p w14:paraId="75606591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12</w:t>
                  </w:r>
                </w:p>
              </w:tc>
              <w:tc>
                <w:tcPr>
                  <w:tcW w:w="1077" w:type="dxa"/>
                </w:tcPr>
                <w:p w14:paraId="0E25581A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13</w:t>
                  </w:r>
                </w:p>
              </w:tc>
              <w:tc>
                <w:tcPr>
                  <w:tcW w:w="1077" w:type="dxa"/>
                </w:tcPr>
                <w:p w14:paraId="49B18AA0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</w:t>
                  </w:r>
                </w:p>
              </w:tc>
            </w:tr>
            <w:tr w:rsidR="00D71816" w14:paraId="1BB9C231" w14:textId="77777777">
              <w:tc>
                <w:tcPr>
                  <w:tcW w:w="1077" w:type="dxa"/>
                </w:tcPr>
                <w:p w14:paraId="5736D35B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race</w:t>
                  </w:r>
                </w:p>
              </w:tc>
              <w:tc>
                <w:tcPr>
                  <w:tcW w:w="1077" w:type="dxa"/>
                </w:tcPr>
                <w:p w14:paraId="6D571F2D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13</w:t>
                  </w:r>
                </w:p>
              </w:tc>
              <w:tc>
                <w:tcPr>
                  <w:tcW w:w="1077" w:type="dxa"/>
                </w:tcPr>
                <w:p w14:paraId="4253E860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14</w:t>
                  </w:r>
                </w:p>
              </w:tc>
              <w:tc>
                <w:tcPr>
                  <w:tcW w:w="1077" w:type="dxa"/>
                </w:tcPr>
                <w:p w14:paraId="28067B6D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</w:t>
                  </w:r>
                </w:p>
              </w:tc>
            </w:tr>
            <w:tr w:rsidR="00D71816" w14:paraId="09509AF8" w14:textId="77777777">
              <w:tc>
                <w:tcPr>
                  <w:tcW w:w="1077" w:type="dxa"/>
                </w:tcPr>
                <w:p w14:paraId="405B911E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sz w:val="17"/>
                    </w:rPr>
                    <w:t>native-country</w:t>
                  </w:r>
                </w:p>
              </w:tc>
              <w:tc>
                <w:tcPr>
                  <w:tcW w:w="1077" w:type="dxa"/>
                </w:tcPr>
                <w:p w14:paraId="13DAF209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14</w:t>
                  </w:r>
                </w:p>
              </w:tc>
              <w:tc>
                <w:tcPr>
                  <w:tcW w:w="1077" w:type="dxa"/>
                </w:tcPr>
                <w:p w14:paraId="5183F758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sz w:val="17"/>
                    </w:rPr>
                    <w:t>8</w:t>
                  </w:r>
                </w:p>
              </w:tc>
              <w:tc>
                <w:tcPr>
                  <w:tcW w:w="1077" w:type="dxa"/>
                </w:tcPr>
                <w:p w14:paraId="4EB4CE06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C0321B"/>
                      <w:sz w:val="17"/>
                    </w:rPr>
                    <w:t>6</w:t>
                  </w:r>
                </w:p>
              </w:tc>
            </w:tr>
            <w:tr w:rsidR="00DD2957" w14:paraId="35BFBF28" w14:textId="77777777">
              <w:tc>
                <w:tcPr>
                  <w:tcW w:w="3231" w:type="dxa"/>
                  <w:gridSpan w:val="3"/>
                </w:tcPr>
                <w:p w14:paraId="7455C6F3" w14:textId="77777777" w:rsidR="00DD2957" w:rsidRDefault="00D71816">
                  <w:pPr>
                    <w:spacing w:after="20" w:line="240" w:lineRule="exact"/>
                  </w:pPr>
                  <w:r>
                    <w:rPr>
                      <w:rFonts w:ascii="Calibri" w:hAnsi="Calibri"/>
                      <w:b/>
                      <w:sz w:val="17"/>
                    </w:rPr>
                    <w:t>Mean absolute rank difference</w:t>
                  </w:r>
                </w:p>
              </w:tc>
              <w:tc>
                <w:tcPr>
                  <w:tcW w:w="1077" w:type="dxa"/>
                </w:tcPr>
                <w:p w14:paraId="19BE5496" w14:textId="77777777" w:rsidR="00DD2957" w:rsidRDefault="00D71816">
                  <w:pPr>
                    <w:spacing w:after="20" w:line="240" w:lineRule="exact"/>
                    <w:jc w:val="center"/>
                  </w:pPr>
                  <w:r>
                    <w:rPr>
                      <w:rFonts w:ascii="Calibri" w:hAnsi="Calibri"/>
                      <w:b/>
                      <w:sz w:val="17"/>
                    </w:rPr>
                    <w:t>3.00</w:t>
                  </w:r>
                </w:p>
              </w:tc>
            </w:tr>
          </w:tbl>
          <w:p w14:paraId="18153202" w14:textId="77777777" w:rsidR="00DD2957" w:rsidRDefault="00DD2957"/>
        </w:tc>
        <w:tc>
          <w:tcPr>
            <w:tcW w:w="5272" w:type="dxa"/>
          </w:tcPr>
          <w:p w14:paraId="002C2D5A" w14:textId="77777777" w:rsidR="00DD2957" w:rsidRDefault="00D71816"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Key Observations</w:t>
            </w:r>
          </w:p>
          <w:p w14:paraId="39D49922" w14:textId="670D6635" w:rsidR="00DD2957" w:rsidRPr="00D71816" w:rsidRDefault="00D71816">
            <w:pPr>
              <w:spacing w:after="100" w:line="250" w:lineRule="exact"/>
              <w:rPr>
                <w:rFonts w:asciiTheme="majorHAnsi" w:hAnsiTheme="majorHAnsi" w:cstheme="majorHAnsi"/>
                <w:sz w:val="18"/>
                <w:szCs w:val="18"/>
              </w:rPr>
            </w:pPr>
            <w:r w:rsidRPr="00D71816">
              <w:rPr>
                <w:rStyle w:val="Strong"/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SHAP</w:t>
            </w:r>
            <w:r w:rsidRPr="00D71816">
              <w:rPr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 distributes importance evenly across relational and educational features (</w:t>
            </w:r>
            <w:r w:rsidRPr="00D71816">
              <w:rPr>
                <w:rStyle w:val="Emphasis"/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relationship</w:t>
            </w:r>
            <w:r w:rsidRPr="00D71816">
              <w:rPr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 rank 1, mean |SHAP| = 0.077). </w:t>
            </w:r>
            <w:r w:rsidRPr="00D71816">
              <w:rPr>
                <w:rStyle w:val="Strong"/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LIME</w:t>
            </w:r>
            <w:r w:rsidRPr="00D71816">
              <w:rPr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 is dominated by </w:t>
            </w:r>
            <w:r w:rsidRPr="00D71816">
              <w:rPr>
                <w:rStyle w:val="Emphasis"/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capital-gain</w:t>
            </w:r>
            <w:r w:rsidRPr="00D71816">
              <w:rPr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 (mean |weight| = 0.594, 6.6× the second feature), reflecting the extreme leverage of this sparse feature on local linear boundaries. The largest divergences — </w:t>
            </w:r>
            <w:r w:rsidRPr="00D71816">
              <w:rPr>
                <w:rStyle w:val="Emphasis"/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capital-loss</w:t>
            </w:r>
            <w:r w:rsidRPr="00D71816">
              <w:rPr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 (diff 8), </w:t>
            </w:r>
            <w:r w:rsidRPr="00D71816">
              <w:rPr>
                <w:rStyle w:val="Emphasis"/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native-country</w:t>
            </w:r>
            <w:r w:rsidRPr="00D71816">
              <w:rPr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 (diff 6), </w:t>
            </w:r>
            <w:r w:rsidRPr="00D71816">
              <w:rPr>
                <w:rStyle w:val="Emphasis"/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>relationship</w:t>
            </w:r>
            <w:r w:rsidRPr="00D71816">
              <w:rPr>
                <w:rFonts w:asciiTheme="majorHAnsi" w:hAnsiTheme="majorHAnsi" w:cstheme="majorHAnsi"/>
                <w:color w:val="111111"/>
                <w:sz w:val="18"/>
                <w:szCs w:val="18"/>
                <w:shd w:val="clear" w:color="auto" w:fill="FFFFFF"/>
              </w:rPr>
              <w:t xml:space="preserve"> (diff 5) — imply that PGI/PGU masking will select different features per method, producing structurally different faithfulness profiles. Minority subgroups with small sample counts (Amer-Indian-Eskimo n=6, Other n=4, 65+ n=18) will yield high-variance metric estimates </w:t>
            </w:r>
            <w:r w:rsidRPr="00D71816">
              <w:rPr>
                <w:rFonts w:asciiTheme="majorHAnsi" w:hAnsiTheme="majorHAnsi" w:cstheme="majorHAnsi"/>
                <w:sz w:val="18"/>
                <w:szCs w:val="18"/>
              </w:rPr>
              <w:t>in the next step</w:t>
            </w:r>
            <w:r w:rsidRPr="00D71816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3A2DAFDB" w14:textId="05C0484B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</w:p>
          <w:p w14:paraId="3CA20FA8" w14:textId="7F1962EC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</w:p>
          <w:p w14:paraId="0D197E5C" w14:textId="261156AE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</w:p>
          <w:p w14:paraId="02372117" w14:textId="17FD1499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</w:p>
          <w:p w14:paraId="630BEFA0" w14:textId="5BF4A6E3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</w:p>
          <w:p w14:paraId="53B34388" w14:textId="1F3295EB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</w:p>
          <w:p w14:paraId="72AE2638" w14:textId="1DFD27FC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</w:p>
          <w:p w14:paraId="13F3A8EB" w14:textId="05A405F5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</w:p>
          <w:p w14:paraId="00853F88" w14:textId="12E2E860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</w:p>
          <w:p w14:paraId="25F9658C" w14:textId="04990D67" w:rsidR="00D71816" w:rsidRDefault="00D71816">
            <w:pPr>
              <w:spacing w:after="100" w:line="250" w:lineRule="exac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noProof/>
                <w:sz w:val="18"/>
              </w:rPr>
              <w:drawing>
                <wp:inline distT="0" distB="0" distL="0" distR="0" wp14:anchorId="7EA3E75B" wp14:editId="09559BED">
                  <wp:extent cx="3192646" cy="1958340"/>
                  <wp:effectExtent l="0" t="0" r="825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100" cy="1982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F0531" w14:textId="1BBF58BE" w:rsidR="00D71816" w:rsidRDefault="00D71816">
            <w:pPr>
              <w:spacing w:after="100" w:line="250" w:lineRule="exact"/>
            </w:pPr>
            <w:r w:rsidRPr="00D71816">
              <w:rPr>
                <w:rStyle w:val="Strong"/>
                <w:rFonts w:asciiTheme="majorHAnsi" w:hAnsiTheme="majorHAnsi" w:cstheme="majorHAnsi"/>
                <w:b w:val="0"/>
                <w:bCs w:val="0"/>
                <w:color w:val="111111"/>
                <w:sz w:val="16"/>
                <w:szCs w:val="16"/>
                <w:shd w:val="clear" w:color="auto" w:fill="FFFFFF"/>
              </w:rPr>
              <w:t xml:space="preserve">Fig. 1 — SHAP </w:t>
            </w:r>
            <w:proofErr w:type="spellStart"/>
            <w:r w:rsidRPr="00D71816">
              <w:rPr>
                <w:rStyle w:val="Strong"/>
                <w:rFonts w:asciiTheme="majorHAnsi" w:hAnsiTheme="majorHAnsi" w:cstheme="majorHAnsi"/>
                <w:b w:val="0"/>
                <w:bCs w:val="0"/>
                <w:color w:val="111111"/>
                <w:sz w:val="16"/>
                <w:szCs w:val="16"/>
                <w:shd w:val="clear" w:color="auto" w:fill="FFFFFF"/>
              </w:rPr>
              <w:t>beeswarm</w:t>
            </w:r>
            <w:proofErr w:type="spellEnd"/>
            <w:r w:rsidRPr="00D71816">
              <w:rPr>
                <w:rStyle w:val="Strong"/>
                <w:rFonts w:asciiTheme="majorHAnsi" w:hAnsiTheme="majorHAnsi" w:cstheme="majorHAnsi"/>
                <w:b w:val="0"/>
                <w:bCs w:val="0"/>
                <w:color w:val="111111"/>
                <w:sz w:val="16"/>
                <w:szCs w:val="16"/>
                <w:shd w:val="clear" w:color="auto" w:fill="FFFFFF"/>
              </w:rPr>
              <w:t xml:space="preserve"> (n=500).</w:t>
            </w:r>
            <w:r w:rsidRPr="00D71816">
              <w:rPr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 xml:space="preserve"> Each dot is one instance; </w:t>
            </w:r>
            <w:proofErr w:type="spellStart"/>
            <w:r w:rsidRPr="00D71816">
              <w:rPr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colour</w:t>
            </w:r>
            <w:proofErr w:type="spellEnd"/>
            <w:r w:rsidRPr="00D71816">
              <w:rPr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 xml:space="preserve"> = feature value (red high, blue low). </w:t>
            </w:r>
            <w:r w:rsidRPr="00D71816">
              <w:rPr>
                <w:rStyle w:val="Emphasis"/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relationship</w:t>
            </w:r>
            <w:r w:rsidRPr="00D71816">
              <w:rPr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, </w:t>
            </w:r>
            <w:r w:rsidRPr="00D71816">
              <w:rPr>
                <w:rStyle w:val="Emphasis"/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education-num</w:t>
            </w:r>
            <w:r w:rsidRPr="00D71816">
              <w:rPr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, </w:t>
            </w:r>
            <w:r w:rsidRPr="00D71816">
              <w:rPr>
                <w:rStyle w:val="Emphasis"/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marital-status</w:t>
            </w:r>
            <w:r w:rsidRPr="00D71816">
              <w:rPr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 dominate. </w:t>
            </w:r>
            <w:r w:rsidRPr="00D71816">
              <w:rPr>
                <w:rStyle w:val="Emphasis"/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capital-gain</w:t>
            </w:r>
            <w:r w:rsidRPr="00D71816">
              <w:rPr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's wide spread reflects sparse but extreme values</w:t>
            </w:r>
          </w:p>
          <w:p w14:paraId="15FB9A55" w14:textId="77777777" w:rsidR="00D71816" w:rsidRDefault="00D71816">
            <w:pPr>
              <w:spacing w:after="100" w:line="250" w:lineRule="exact"/>
            </w:pPr>
          </w:p>
          <w:p w14:paraId="2C03731D" w14:textId="77777777" w:rsidR="00DD2957" w:rsidRDefault="00D71816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DDBF2EA" wp14:editId="3A02C8C9">
                  <wp:extent cx="3240000" cy="11546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_vs_lim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15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3E585" w14:textId="0C922510" w:rsidR="00DD2957" w:rsidRPr="00D71816" w:rsidRDefault="00D71816">
            <w:pPr>
              <w:spacing w:after="80"/>
              <w:rPr>
                <w:rFonts w:asciiTheme="majorHAnsi" w:hAnsiTheme="majorHAnsi" w:cstheme="majorHAnsi"/>
                <w:sz w:val="16"/>
                <w:szCs w:val="16"/>
              </w:rPr>
            </w:pPr>
            <w:r w:rsidRPr="00D71816">
              <w:rPr>
                <w:rStyle w:val="Strong"/>
                <w:rFonts w:asciiTheme="majorHAnsi" w:hAnsiTheme="majorHAnsi" w:cstheme="majorHAnsi"/>
                <w:b w:val="0"/>
                <w:bCs w:val="0"/>
                <w:color w:val="111111"/>
                <w:sz w:val="16"/>
                <w:szCs w:val="16"/>
                <w:shd w:val="clear" w:color="auto" w:fill="FFFFFF"/>
              </w:rPr>
              <w:t>Fig. 2 — SHAP vs. LIME global importance</w:t>
            </w:r>
            <w:r w:rsidRPr="00D71816">
              <w:rPr>
                <w:rStyle w:val="Strong"/>
                <w:rFonts w:asciiTheme="majorHAnsi" w:hAnsiTheme="majorHAnsi" w:cstheme="majorHAnsi"/>
                <w:color w:val="111111"/>
                <w:sz w:val="16"/>
                <w:szCs w:val="16"/>
                <w:shd w:val="clear" w:color="auto" w:fill="FFFFFF"/>
              </w:rPr>
              <w:t>.</w:t>
            </w:r>
            <w:r w:rsidRPr="00D71816">
              <w:rPr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 Left (blue): SHAP — evenly distributed. Right (orange): LIME — </w:t>
            </w:r>
            <w:r w:rsidRPr="00D71816">
              <w:rPr>
                <w:rStyle w:val="Emphasis"/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capital-gain</w:t>
            </w:r>
            <w:r w:rsidRPr="00D71816">
              <w:rPr>
                <w:rFonts w:asciiTheme="majorHAnsi" w:hAnsiTheme="majorHAnsi" w:cstheme="majorHAnsi"/>
                <w:color w:val="444444"/>
                <w:sz w:val="16"/>
                <w:szCs w:val="16"/>
                <w:shd w:val="clear" w:color="auto" w:fill="FFFFFF"/>
              </w:rPr>
              <w:t> bar dwarfs all others, making it the near-universal top-k choice in PGI masking regardless of subgroup</w:t>
            </w:r>
          </w:p>
        </w:tc>
      </w:tr>
    </w:tbl>
    <w:p w14:paraId="270675A5" w14:textId="0578D6E9" w:rsidR="00000000" w:rsidRDefault="00D71816" w:rsidP="00D71816">
      <w:pPr>
        <w:spacing w:before="120" w:after="60" w:line="270" w:lineRule="exact"/>
        <w:rPr>
          <w:rFonts w:ascii="Calibri" w:hAnsi="Calibri"/>
          <w:b/>
        </w:rPr>
      </w:pPr>
    </w:p>
    <w:p w14:paraId="07D95934" w14:textId="782C9234" w:rsidR="00D71816" w:rsidRDefault="00D71816" w:rsidP="00D71816">
      <w:pPr>
        <w:spacing w:before="120" w:after="60" w:line="270" w:lineRule="exact"/>
      </w:pPr>
    </w:p>
    <w:sectPr w:rsidR="00D71816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71816"/>
    <w:rsid w:val="00DD2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047DC"/>
  <w14:defaultImageDpi w14:val="300"/>
  <w15:docId w15:val="{84E928F2-1B17-4ADD-B89A-05438B18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56C5D1-58D6-45AC-8B16-DC10F748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javad torkashvand</cp:lastModifiedBy>
  <cp:revision>2</cp:revision>
  <dcterms:created xsi:type="dcterms:W3CDTF">2013-12-23T23:15:00Z</dcterms:created>
  <dcterms:modified xsi:type="dcterms:W3CDTF">2026-07-10T00:03:00Z</dcterms:modified>
  <cp:category/>
</cp:coreProperties>
</file>