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D83CC" w14:textId="2E000B24" w:rsidR="005E048B" w:rsidRDefault="00922E03" w:rsidP="00922E03">
      <w:pPr>
        <w:pStyle w:val="Heading1"/>
      </w:pPr>
      <w:r>
        <w:t>Description of MTEX twin analysis code</w:t>
      </w:r>
    </w:p>
    <w:p w14:paraId="52B841BD" w14:textId="344D9266" w:rsidR="00922E03" w:rsidRDefault="00922E03" w:rsidP="00922E03">
      <w:pPr>
        <w:pStyle w:val="Heading2"/>
      </w:pPr>
      <w:r>
        <w:t>Introduction</w:t>
      </w:r>
    </w:p>
    <w:p w14:paraId="301EF72D" w14:textId="0442EFF5" w:rsidR="00D84FDF" w:rsidRPr="00D84FDF" w:rsidRDefault="00922E03" w:rsidP="00D84FDF">
      <w:r>
        <w:t xml:space="preserve">MTEX has become a powerful, widely used texture microstructure characterization tool with the latest release having over 4000 downloads from </w:t>
      </w:r>
      <w:proofErr w:type="spellStart"/>
      <w:r>
        <w:t>github</w:t>
      </w:r>
      <w:proofErr w:type="spellEnd"/>
      <w:r>
        <w:t>. In addition to its extensive functionality and documentation</w:t>
      </w:r>
      <w:r w:rsidR="00366937">
        <w:t xml:space="preserve">, </w:t>
      </w:r>
      <w:r>
        <w:t xml:space="preserve">MTEX has an advantage over many other codes for microstructure characterization in that its code is </w:t>
      </w:r>
      <w:r w:rsidR="00A96A1B">
        <w:t xml:space="preserve">ready to use </w:t>
      </w:r>
      <w:r w:rsidR="00327E68">
        <w:t xml:space="preserve">in </w:t>
      </w:r>
      <w:proofErr w:type="spellStart"/>
      <w:r w:rsidR="00327E68">
        <w:t>Matlab</w:t>
      </w:r>
      <w:proofErr w:type="spellEnd"/>
      <w:r w:rsidR="00327E68">
        <w:t xml:space="preserve"> </w:t>
      </w:r>
      <w:r w:rsidR="00011581">
        <w:t xml:space="preserve">without special environment setup or compiling, and it is </w:t>
      </w:r>
      <w:r>
        <w:t>easily understood and debu</w:t>
      </w:r>
      <w:r w:rsidR="006840CA">
        <w:t>g</w:t>
      </w:r>
      <w:r>
        <w:t xml:space="preserve">ged in the </w:t>
      </w:r>
      <w:proofErr w:type="spellStart"/>
      <w:r>
        <w:t>Matlab</w:t>
      </w:r>
      <w:proofErr w:type="spellEnd"/>
      <w:r>
        <w:t xml:space="preserve"> environment. </w:t>
      </w:r>
      <w:r w:rsidR="00366937">
        <w:t xml:space="preserve">Many students are already familiar with </w:t>
      </w:r>
      <w:proofErr w:type="spellStart"/>
      <w:r w:rsidR="00366937">
        <w:t>Matlab</w:t>
      </w:r>
      <w:proofErr w:type="spellEnd"/>
      <w:r w:rsidR="00366937">
        <w:t xml:space="preserve"> due to extensive use in Academic and research institutions. </w:t>
      </w:r>
      <w:r>
        <w:t xml:space="preserve">In parallel to the rise of MTEX there have been significant advances in automated twin characterization presented in recent papers such as </w:t>
      </w:r>
      <w:r>
        <w:fldChar w:fldCharType="begin"/>
      </w:r>
      <w:r>
        <w:instrText xml:space="preserve"> ADDIN EN.CITE &lt;EndNote&gt;&lt;Cite&gt;&lt;Author&gt;Pradalier&lt;/Author&gt;&lt;Year&gt;2018&lt;/Year&gt;&lt;RecNum&gt;741&lt;/RecNum&gt;&lt;DisplayText&gt;(Pradalier, Juan et al. 2018)&lt;/DisplayText&gt;&lt;record&gt;&lt;rec-number&gt;741&lt;/rec-number&gt;&lt;foreign-keys&gt;&lt;key app="EN" db-id="25ta2zz9k9faxoevf9kv2s22wwz0favs909z" timestamp="1555418968"&gt;741&lt;/key&gt;&lt;/foreign-keys&gt;&lt;ref-type name="Book"&gt;6&lt;/ref-type&gt;&lt;contributors&gt;&lt;authors&gt;&lt;author&gt;Pradalier, Cedric&lt;/author&gt;&lt;author&gt;Juan, Pierre-Alexandre&lt;/author&gt;&lt;author&gt;J. McCabe, Rodney&lt;/author&gt;&lt;author&gt;Capolungo, Laurent&lt;/author&gt;&lt;/authors&gt;&lt;/contributors&gt;&lt;titles&gt;&lt;title&gt;A Graph Theory-Based Automated Twin Recognition Technique for Electron Backscatter Diffraction Analysis&lt;/title&gt;&lt;alt-title&gt;Integrating Materials and Manufacturing Innovation&lt;/alt-title&gt;&lt;/titles&gt;&lt;dates&gt;&lt;year&gt;2018&lt;/year&gt;&lt;/dates&gt;&lt;urls&gt;&lt;/urls&gt;&lt;electronic-resource-num&gt;10.1007/s40192-018-0106-y&lt;/electronic-resource-num&gt;&lt;/record&gt;&lt;/Cite&gt;&lt;/EndNote&gt;</w:instrText>
      </w:r>
      <w:r>
        <w:fldChar w:fldCharType="separate"/>
      </w:r>
      <w:r>
        <w:rPr>
          <w:noProof/>
        </w:rPr>
        <w:t>(Pradalier, Juan et al. 2018)</w:t>
      </w:r>
      <w:r>
        <w:fldChar w:fldCharType="end"/>
      </w:r>
      <w:r>
        <w:t xml:space="preserve"> and </w:t>
      </w:r>
      <w:r>
        <w:fldChar w:fldCharType="begin"/>
      </w:r>
      <w:r>
        <w:instrText xml:space="preserve"> ADDIN EN.CITE &lt;EndNote&gt;&lt;Cite&gt;&lt;Author&gt;Marshall&lt;/Author&gt;&lt;Year&gt;2010&lt;/Year&gt;&lt;RecNum&gt;465&lt;/RecNum&gt;&lt;DisplayText&gt;(Marshall, Proust et al. 2010)&lt;/DisplayText&gt;&lt;record&gt;&lt;rec-number&gt;465&lt;/rec-number&gt;&lt;foreign-keys&gt;&lt;key app="EN" db-id="25ta2zz9k9faxoevf9kv2s22wwz0favs909z" timestamp="1511122030"&gt;465&lt;/key&gt;&lt;key app="ENWeb" db-id=""&gt;0&lt;/key&gt;&lt;/foreign-keys&gt;&lt;ref-type name="Journal Article"&gt;17&lt;/ref-type&gt;&lt;contributors&gt;&lt;authors&gt;&lt;author&gt;Marshall, P. E.&lt;/author&gt;&lt;author&gt;Proust, G.&lt;/author&gt;&lt;author&gt;Rogers, J. T.&lt;/author&gt;&lt;author&gt;McCabe, R. J.&lt;/author&gt;&lt;/authors&gt;&lt;/contributors&gt;&lt;auth-address&gt;Materials Science and Technology Division, Los Alamos National Laboratory, Los Alamos, New Mexico 87545, USA.&lt;/auth-address&gt;&lt;titles&gt;&lt;title&gt;Automatic twin statistics from electron backscattered diffraction data&lt;/title&gt;&lt;secondary-title&gt;J Microsc&lt;/secondary-title&gt;&lt;/titles&gt;&lt;periodical&gt;&lt;full-title&gt;J Microsc&lt;/full-title&gt;&lt;/periodical&gt;&lt;pages&gt;218-29&lt;/pages&gt;&lt;volume&gt;238&lt;/volume&gt;&lt;number&gt;3&lt;/number&gt;&lt;edition&gt;2010/06/29&lt;/edition&gt;&lt;dates&gt;&lt;year&gt;2010&lt;/year&gt;&lt;pub-dates&gt;&lt;date&gt;Jun 01&lt;/date&gt;&lt;/pub-dates&gt;&lt;/dates&gt;&lt;isbn&gt;1365-2818 (Electronic)&amp;#xD;0022-2720 (Linking)&lt;/isbn&gt;&lt;accession-num&gt;20579260&lt;/accession-num&gt;&lt;urls&gt;&lt;related-urls&gt;&lt;url&gt;https://www.ncbi.nlm.nih.gov/pubmed/20579260&lt;/url&gt;&lt;/related-urls&gt;&lt;/urls&gt;&lt;electronic-resource-num&gt;10.1111/j.1365-2818.2009.03343.x&lt;/electronic-resource-num&gt;&lt;/record&gt;&lt;/Cite&gt;&lt;/EndNote&gt;</w:instrText>
      </w:r>
      <w:r>
        <w:fldChar w:fldCharType="separate"/>
      </w:r>
      <w:r>
        <w:rPr>
          <w:noProof/>
        </w:rPr>
        <w:t>(Marshall, Proust et al. 2010)</w:t>
      </w:r>
      <w:r>
        <w:fldChar w:fldCharType="end"/>
      </w:r>
      <w:r>
        <w:t>. Incorporating the functionality described in these papers</w:t>
      </w:r>
      <w:r w:rsidR="006840CA">
        <w:t xml:space="preserve"> into the MTEX framework could be major boon to researche</w:t>
      </w:r>
      <w:r w:rsidR="00366937">
        <w:t>r</w:t>
      </w:r>
      <w:r w:rsidR="006840CA">
        <w:t xml:space="preserve">s who have already invested in learning MTEX and </w:t>
      </w:r>
      <w:r w:rsidR="00A96A1B">
        <w:t xml:space="preserve">would </w:t>
      </w:r>
      <w:r w:rsidR="006840CA">
        <w:t xml:space="preserve">provide a platform to quickly prototype advances in twin analysis. The final motivation for developing a twin analysis code in MTEX is that the code will benefit from community support – i.e. in finding bugs, community explanation on using the code, and extending functionality. The community framework will likely </w:t>
      </w:r>
      <w:r w:rsidR="00327E68">
        <w:t>result</w:t>
      </w:r>
      <w:r w:rsidR="006840CA">
        <w:t xml:space="preserve"> largest impact on the microstructure characterization field.</w:t>
      </w:r>
    </w:p>
    <w:p w14:paraId="0B8F4683" w14:textId="4440490F" w:rsidR="006840CA" w:rsidRDefault="00A96A1B" w:rsidP="00D84FDF">
      <w:pPr>
        <w:pStyle w:val="Heading2"/>
      </w:pPr>
      <w:r>
        <w:t>Twin definition</w:t>
      </w:r>
    </w:p>
    <w:p w14:paraId="31E08C21" w14:textId="472F9026" w:rsidR="00A96A1B" w:rsidRDefault="009E14F4" w:rsidP="00A96A1B">
      <w:r>
        <w:t xml:space="preserve">The twin definitions are handled by two sets of inputs. The first is the crystal symmetry which is </w:t>
      </w:r>
      <w:proofErr w:type="gramStart"/>
      <w:r>
        <w:t xml:space="preserve">defined  </w:t>
      </w:r>
      <w:r w:rsidR="004E6CB1">
        <w:t>for</w:t>
      </w:r>
      <w:proofErr w:type="gramEnd"/>
      <w:r w:rsidR="004E6CB1">
        <w:t xml:space="preserve"> pure titanium as</w:t>
      </w:r>
    </w:p>
    <w:bookmarkStart w:id="0" w:name="_MON_1616912865"/>
    <w:bookmarkEnd w:id="0"/>
    <w:p w14:paraId="7AF1C658" w14:textId="0F3E0EEF" w:rsidR="009E14F4" w:rsidRDefault="009E14F4" w:rsidP="00A96A1B">
      <w:r>
        <w:object w:dxaOrig="9360" w:dyaOrig="408" w14:anchorId="241BF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3pt;height:20.65pt" o:ole="">
            <v:imagedata r:id="rId5" o:title=""/>
          </v:shape>
          <o:OLEObject Type="Embed" ProgID="Word.OpenDocumentText.12" ShapeID="_x0000_i1033" DrawAspect="Content" ObjectID="_1616934291" r:id="rId6"/>
        </w:object>
      </w:r>
    </w:p>
    <w:p w14:paraId="5ACF8D1C" w14:textId="64AA7172" w:rsidR="009E14F4" w:rsidRDefault="004E6CB1" w:rsidP="00A96A1B">
      <w:r>
        <w:t xml:space="preserve">where the </w:t>
      </w:r>
      <w:r w:rsidR="00540B6D">
        <w:t>‘</w:t>
      </w:r>
      <w:proofErr w:type="spellStart"/>
      <w:r w:rsidR="00540B6D">
        <w:t>notIndexed</w:t>
      </w:r>
      <w:proofErr w:type="spellEnd"/>
      <w:r w:rsidR="00540B6D">
        <w:t xml:space="preserve">’ phase in </w:t>
      </w:r>
      <w:proofErr w:type="gramStart"/>
      <w:r w:rsidR="00540B6D">
        <w:t>CS{</w:t>
      </w:r>
      <w:proofErr w:type="gramEnd"/>
      <w:r w:rsidR="00540B6D">
        <w:t xml:space="preserve">1} is used for EBSD with unindexed data. The </w:t>
      </w:r>
      <w:r w:rsidR="00540B6D">
        <w:t>twinning frame is defined with respect</w:t>
      </w:r>
      <w:r w:rsidR="00540B6D">
        <w:t xml:space="preserve"> to the a-axis and c-axis of the unit cell. These values are used in computing the misorientation, variants, </w:t>
      </w:r>
      <w:proofErr w:type="spellStart"/>
      <w:r w:rsidR="00540B6D">
        <w:t>etc</w:t>
      </w:r>
      <w:proofErr w:type="spellEnd"/>
      <w:r w:rsidR="00540B6D">
        <w:t>… for each twin mode.</w:t>
      </w:r>
    </w:p>
    <w:p w14:paraId="170CA942" w14:textId="4C77740C" w:rsidR="00540B6D" w:rsidRDefault="00540B6D" w:rsidP="00A96A1B">
      <w:r>
        <w:t xml:space="preserve">The second input are the twin specific parameters. The parameter </w:t>
      </w:r>
      <w:proofErr w:type="spellStart"/>
      <w:r>
        <w:t>actType</w:t>
      </w:r>
      <w:proofErr w:type="spellEnd"/>
      <w:r>
        <w:t xml:space="preserve"> defines if it is a type 1 or type 2 twin, k1 is </w:t>
      </w:r>
      <w:r w:rsidR="004A3939">
        <w:t xml:space="preserve">the </w:t>
      </w:r>
      <w:r>
        <w:t xml:space="preserve">twin plane, eta1 is the shear direction in k1, </w:t>
      </w:r>
      <w:r w:rsidR="00327E68">
        <w:t xml:space="preserve">name is used during plotting, and the </w:t>
      </w:r>
      <w:proofErr w:type="spellStart"/>
      <w:r w:rsidR="00327E68">
        <w:t>tnum</w:t>
      </w:r>
      <w:proofErr w:type="spellEnd"/>
      <w:r w:rsidR="00327E68">
        <w:t xml:space="preserve"> is the index of the twin.</w:t>
      </w:r>
    </w:p>
    <w:bookmarkStart w:id="1" w:name="_MON_1616911333"/>
    <w:bookmarkEnd w:id="1"/>
    <w:p w14:paraId="45130280" w14:textId="502A2361" w:rsidR="006840CA" w:rsidRDefault="00A711C3" w:rsidP="00327E68">
      <w:r>
        <w:object w:dxaOrig="9360" w:dyaOrig="1223" w14:anchorId="660E0C53">
          <v:shape id="_x0000_i1041" type="#_x0000_t75" style="width:468.3pt;height:61.35pt" o:ole="">
            <v:imagedata r:id="rId7" o:title=""/>
          </v:shape>
          <o:OLEObject Type="Embed" ProgID="Word.OpenDocumentText.12" ShapeID="_x0000_i1041" DrawAspect="Content" ObjectID="_1616934292" r:id="rId8"/>
        </w:object>
      </w:r>
    </w:p>
    <w:p w14:paraId="1A9F0D2C" w14:textId="16FC3431" w:rsidR="00A96A1B" w:rsidRDefault="00A711C3" w:rsidP="00A96A1B">
      <w:r>
        <w:t>Care should be taken</w:t>
      </w:r>
      <w:r w:rsidR="0092468E">
        <w:t xml:space="preserve"> </w:t>
      </w:r>
      <w:r w:rsidR="00360B66">
        <w:t xml:space="preserve">when selecting the </w:t>
      </w:r>
      <w:r>
        <w:t xml:space="preserve">plane and direction </w:t>
      </w:r>
      <w:r w:rsidR="00360B66">
        <w:t>used</w:t>
      </w:r>
      <w:r>
        <w:t xml:space="preserve"> to define k1 and eta1. Specifically, if the </w:t>
      </w:r>
      <w:r w:rsidR="0092468E">
        <w:t>k1 direction is pointing in the opposite direction of the c-axis</w:t>
      </w:r>
      <w:r>
        <w:t>, assumptions about the sign of the Schmid factor</w:t>
      </w:r>
      <w:r w:rsidR="0092468E">
        <w:t xml:space="preserve"> for the parent and twin will be inverted</w:t>
      </w:r>
      <w:r>
        <w:t>. The definition can be easily checked using the following code</w:t>
      </w:r>
      <w:r w:rsidR="0092468E">
        <w:t xml:space="preserve"> wherein the </w:t>
      </w:r>
      <w:proofErr w:type="spellStart"/>
      <w:r w:rsidR="0092468E">
        <w:t>Rtw</w:t>
      </w:r>
      <w:proofErr w:type="spellEnd"/>
      <w:r w:rsidR="0092468E">
        <w:t xml:space="preserve"> twin rotation matrix which </w:t>
      </w:r>
      <w:r w:rsidR="00360B66">
        <w:t xml:space="preserve">transform the </w:t>
      </w:r>
      <w:r w:rsidR="0092468E">
        <w:t>black k1 and eta1 vectors</w:t>
      </w:r>
      <w:r w:rsidR="00360B66">
        <w:t xml:space="preserve"> defining the twin frame</w:t>
      </w:r>
      <w:r w:rsidR="0092468E">
        <w:t xml:space="preserve"> into the crystal frame. </w:t>
      </w:r>
    </w:p>
    <w:bookmarkStart w:id="2" w:name="_MON_1616916603"/>
    <w:bookmarkEnd w:id="2"/>
    <w:p w14:paraId="6DA34C40" w14:textId="749DA6AB" w:rsidR="00A711C3" w:rsidRDefault="00A711C3" w:rsidP="00A96A1B">
      <w:r>
        <w:object w:dxaOrig="9360" w:dyaOrig="2039" w14:anchorId="793F3360">
          <v:shape id="_x0000_i1049" type="#_x0000_t75" style="width:468.3pt;height:102.05pt" o:ole="">
            <v:imagedata r:id="rId9" o:title=""/>
          </v:shape>
          <o:OLEObject Type="Embed" ProgID="Word.OpenDocumentText.12" ShapeID="_x0000_i1049" DrawAspect="Content" ObjectID="_1616934293" r:id="rId10"/>
        </w:object>
      </w:r>
    </w:p>
    <w:p w14:paraId="453E8B02" w14:textId="257B0318" w:rsidR="00A711C3" w:rsidRDefault="00A711C3" w:rsidP="00A96A1B">
      <w:r>
        <w:rPr>
          <w:noProof/>
        </w:rPr>
        <w:drawing>
          <wp:inline distT="0" distB="0" distL="0" distR="0" wp14:anchorId="2A872CB3" wp14:editId="1ECA9F6E">
            <wp:extent cx="280987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3152775"/>
                    </a:xfrm>
                    <a:prstGeom prst="rect">
                      <a:avLst/>
                    </a:prstGeom>
                  </pic:spPr>
                </pic:pic>
              </a:graphicData>
            </a:graphic>
          </wp:inline>
        </w:drawing>
      </w:r>
    </w:p>
    <w:p w14:paraId="7B328895" w14:textId="726E3D02" w:rsidR="0092468E" w:rsidRDefault="00360B66" w:rsidP="00A96A1B">
      <w:r>
        <w:t xml:space="preserve">The transformation between the twin and crystal frame along with the misorientation, twin slip system </w:t>
      </w:r>
      <w:r w:rsidR="00F56EC1">
        <w:t>(</w:t>
      </w:r>
      <w:r>
        <w:t>correspond</w:t>
      </w:r>
      <w:r w:rsidR="00F56EC1">
        <w:t>s</w:t>
      </w:r>
      <w:r>
        <w:t xml:space="preserve"> to the variants</w:t>
      </w:r>
      <w:r w:rsidR="00F56EC1">
        <w:t>)</w:t>
      </w:r>
      <w:r>
        <w:t>, axis, angle, and variants</w:t>
      </w:r>
      <w:r w:rsidR="0092468E">
        <w:t xml:space="preserve"> are defined in a call to </w:t>
      </w:r>
    </w:p>
    <w:bookmarkStart w:id="3" w:name="_MON_1616917039"/>
    <w:bookmarkEnd w:id="3"/>
    <w:p w14:paraId="0A3E5053" w14:textId="700DFFA9" w:rsidR="0092468E" w:rsidRDefault="0092468E" w:rsidP="00A96A1B">
      <w:r>
        <w:object w:dxaOrig="9360" w:dyaOrig="204" w14:anchorId="139C411E">
          <v:shape id="_x0000_i1055" type="#_x0000_t75" style="width:468.3pt;height:10pt" o:ole="">
            <v:imagedata r:id="rId12" o:title=""/>
          </v:shape>
          <o:OLEObject Type="Embed" ProgID="Word.OpenDocumentText.12" ShapeID="_x0000_i1055" DrawAspect="Content" ObjectID="_1616934294" r:id="rId13"/>
        </w:object>
      </w:r>
    </w:p>
    <w:p w14:paraId="6415F3BF" w14:textId="629624C4" w:rsidR="0092468E" w:rsidRDefault="00360B66" w:rsidP="00A96A1B">
      <w:r>
        <w:t>i</w:t>
      </w:r>
      <w:r w:rsidR="0092468E">
        <w:t xml:space="preserve">n which the following definitions are used </w:t>
      </w:r>
    </w:p>
    <w:bookmarkStart w:id="4" w:name="_MON_1616917169"/>
    <w:bookmarkEnd w:id="4"/>
    <w:p w14:paraId="5C72F406" w14:textId="6095C8E5" w:rsidR="0092468E" w:rsidRDefault="004A3939" w:rsidP="00A96A1B">
      <w:r>
        <w:object w:dxaOrig="9360" w:dyaOrig="4336" w14:anchorId="41086A03">
          <v:shape id="_x0000_i1072" type="#_x0000_t75" style="width:468.3pt;height:216.65pt" o:ole="">
            <v:imagedata r:id="rId14" o:title=""/>
          </v:shape>
          <o:OLEObject Type="Embed" ProgID="Word.OpenDocumentText.12" ShapeID="_x0000_i1072" DrawAspect="Content" ObjectID="_1616934295" r:id="rId15"/>
        </w:object>
      </w:r>
    </w:p>
    <w:p w14:paraId="19D165B0" w14:textId="763911B5" w:rsidR="0092468E" w:rsidRDefault="0092468E" w:rsidP="00A96A1B">
      <w:r>
        <w:t>The</w:t>
      </w:r>
      <w:r w:rsidR="00360B66">
        <w:t xml:space="preserve"> </w:t>
      </w:r>
      <w:proofErr w:type="spellStart"/>
      <w:r w:rsidR="00360B66">
        <w:t>tType</w:t>
      </w:r>
      <w:proofErr w:type="spellEnd"/>
      <w:r w:rsidR="00360B66">
        <w:t xml:space="preserve"> specifies whether a rotation around k1 (</w:t>
      </w:r>
      <w:proofErr w:type="spellStart"/>
      <w:proofErr w:type="gramStart"/>
      <w:r w:rsidR="00360B66">
        <w:t>tType</w:t>
      </w:r>
      <w:proofErr w:type="spellEnd"/>
      <w:r w:rsidR="00360B66">
        <w:t>{</w:t>
      </w:r>
      <w:proofErr w:type="gramEnd"/>
      <w:r w:rsidR="00360B66">
        <w:t xml:space="preserve">1}) or eta1 </w:t>
      </w:r>
      <w:r w:rsidR="00360B66">
        <w:t>(</w:t>
      </w:r>
      <w:proofErr w:type="spellStart"/>
      <w:r w:rsidR="00360B66">
        <w:t>tType</w:t>
      </w:r>
      <w:proofErr w:type="spellEnd"/>
      <w:r w:rsidR="00360B66">
        <w:t>{</w:t>
      </w:r>
      <w:r w:rsidR="00360B66">
        <w:t>2</w:t>
      </w:r>
      <w:r w:rsidR="00360B66">
        <w:t>})</w:t>
      </w:r>
      <w:r w:rsidR="00360B66">
        <w:t xml:space="preserve"> will be used. </w:t>
      </w:r>
    </w:p>
    <w:p w14:paraId="06695188" w14:textId="6204DA7E" w:rsidR="004A3939" w:rsidRDefault="004A3939" w:rsidP="00A96A1B">
      <w:r>
        <w:t>Reference the work of Li et. al 2015 for the twin definitions along with the work of the twin table guys for list of common twins in various systems. Adding that the benefit of this method for defining twins are that the axis and angle are taken care of by an appropriate cell definition.</w:t>
      </w:r>
    </w:p>
    <w:p w14:paraId="10E134FD" w14:textId="579BE8EF" w:rsidR="00360B66" w:rsidRDefault="00360B66" w:rsidP="00D84FDF">
      <w:pPr>
        <w:pStyle w:val="Heading2"/>
      </w:pPr>
      <w:r>
        <w:t>Applied stress</w:t>
      </w:r>
    </w:p>
    <w:p w14:paraId="13440613" w14:textId="2F65FA1E" w:rsidR="00360B66" w:rsidRPr="00360B66" w:rsidRDefault="00360B66" w:rsidP="00360B66">
      <w:r>
        <w:t>The applied stress used during Schmid factor calculations is defined as the second order tensor</w:t>
      </w:r>
      <w:r w:rsidR="004A3939">
        <w:t xml:space="preserve"> sigma.</w:t>
      </w:r>
    </w:p>
    <w:bookmarkStart w:id="5" w:name="_MON_1616917785"/>
    <w:bookmarkEnd w:id="5"/>
    <w:p w14:paraId="183CD792" w14:textId="5C9F4E8A" w:rsidR="00360B66" w:rsidRDefault="00360B66" w:rsidP="00360B66">
      <w:r>
        <w:object w:dxaOrig="9360" w:dyaOrig="204" w14:anchorId="2A85A6B9">
          <v:shape id="_x0000_i1068" type="#_x0000_t75" style="width:468.3pt;height:10pt" o:ole="">
            <v:imagedata r:id="rId16" o:title=""/>
          </v:shape>
          <o:OLEObject Type="Embed" ProgID="Word.OpenDocumentText.12" ShapeID="_x0000_i1068" DrawAspect="Content" ObjectID="_1616934296" r:id="rId17"/>
        </w:object>
      </w:r>
    </w:p>
    <w:p w14:paraId="23C09F24" w14:textId="77777777" w:rsidR="00843081" w:rsidRDefault="00D84FDF" w:rsidP="00D84FDF">
      <w:pPr>
        <w:pStyle w:val="Heading2"/>
      </w:pPr>
      <w:r>
        <w:t>Building the graph data structure and stor</w:t>
      </w:r>
      <w:r w:rsidR="00843081">
        <w:t>ed parameters</w:t>
      </w:r>
    </w:p>
    <w:p w14:paraId="456AEB32" w14:textId="77777777" w:rsidR="00F77F5D" w:rsidRDefault="00F77F5D" w:rsidP="00F77F5D">
      <w:pPr>
        <w:pStyle w:val="Heading3"/>
      </w:pPr>
      <w:r>
        <w:t xml:space="preserve">Description of edge and nodes </w:t>
      </w:r>
    </w:p>
    <w:p w14:paraId="0BC48727" w14:textId="5D6A9CF6" w:rsidR="00843081" w:rsidRDefault="00F77F5D" w:rsidP="00F77F5D">
      <w:pPr>
        <w:pStyle w:val="Heading3"/>
      </w:pPr>
      <w:r>
        <w:t>Desc</w:t>
      </w:r>
      <w:r>
        <w:t>ription of accessing variables</w:t>
      </w:r>
    </w:p>
    <w:p w14:paraId="4B39D0B3" w14:textId="1C9528A8" w:rsidR="00843081" w:rsidRDefault="00843081" w:rsidP="00D84FDF">
      <w:pPr>
        <w:pStyle w:val="Heading2"/>
      </w:pPr>
      <w:r>
        <w:t xml:space="preserve">Initial </w:t>
      </w:r>
      <w:r w:rsidR="000B5D4C">
        <w:t>c</w:t>
      </w:r>
      <w:r>
        <w:t xml:space="preserve">lustering of grains </w:t>
      </w:r>
    </w:p>
    <w:p w14:paraId="046DFCB9" w14:textId="79880E0C" w:rsidR="00F77F5D" w:rsidRPr="00F77F5D" w:rsidRDefault="00F77F5D" w:rsidP="00F77F5D">
      <w:pPr>
        <w:pStyle w:val="Heading3"/>
      </w:pPr>
      <w:r>
        <w:t>Options: mean orientation, seeded mean orientation, boundary</w:t>
      </w:r>
    </w:p>
    <w:p w14:paraId="30FC4643" w14:textId="77777777" w:rsidR="00843081" w:rsidRDefault="00843081" w:rsidP="00D84FDF">
      <w:pPr>
        <w:pStyle w:val="Heading2"/>
      </w:pPr>
      <w:r>
        <w:t>Group fragments into families</w:t>
      </w:r>
    </w:p>
    <w:p w14:paraId="6694DCC5" w14:textId="738FE242" w:rsidR="00360B66" w:rsidRDefault="00843081" w:rsidP="00D84FDF">
      <w:pPr>
        <w:pStyle w:val="Heading2"/>
      </w:pPr>
      <w:r>
        <w:t xml:space="preserve">Weight </w:t>
      </w:r>
      <w:r w:rsidR="000B5D4C">
        <w:t>f</w:t>
      </w:r>
      <w:r>
        <w:t>amily Votes</w:t>
      </w:r>
    </w:p>
    <w:p w14:paraId="71E80093" w14:textId="4049ED04" w:rsidR="00F77F5D" w:rsidRPr="00F77F5D" w:rsidRDefault="00F77F5D" w:rsidP="00F77F5D">
      <w:pPr>
        <w:pStyle w:val="Heading3"/>
      </w:pPr>
      <w:r>
        <w:t>Describe each weighted value</w:t>
      </w:r>
    </w:p>
    <w:p w14:paraId="3D0D0298" w14:textId="4CFB778C" w:rsidR="00843081" w:rsidRDefault="00843081" w:rsidP="00843081">
      <w:pPr>
        <w:pStyle w:val="Heading2"/>
      </w:pPr>
      <w:r>
        <w:t>Family tree cleanup</w:t>
      </w:r>
    </w:p>
    <w:p w14:paraId="315F0160" w14:textId="079CAE3F" w:rsidR="00334F4B" w:rsidRDefault="00334F4B" w:rsidP="00334F4B">
      <w:pPr>
        <w:spacing w:line="240" w:lineRule="auto"/>
      </w:pPr>
      <w:r>
        <w:t>Inputs: defined for each cluster of grains formed by merging boundaries</w:t>
      </w:r>
    </w:p>
    <w:p w14:paraId="62FC4256" w14:textId="610297AF" w:rsidR="00334F4B" w:rsidRDefault="00334F4B" w:rsidP="00334F4B">
      <w:pPr>
        <w:spacing w:line="240" w:lineRule="auto"/>
      </w:pPr>
      <w:proofErr w:type="spellStart"/>
      <w:r>
        <w:t>nFamily</w:t>
      </w:r>
      <w:proofErr w:type="spellEnd"/>
      <w:r>
        <w:t xml:space="preserve">: </w:t>
      </w:r>
      <w:proofErr w:type="gramStart"/>
      <w:r>
        <w:t>the</w:t>
      </w:r>
      <w:proofErr w:type="gramEnd"/>
      <w:r>
        <w:t xml:space="preserve"> Family Id linking fragments of similar orientation</w:t>
      </w:r>
    </w:p>
    <w:p w14:paraId="7C0A26B7" w14:textId="0DEF200C" w:rsidR="00334F4B" w:rsidRDefault="00334F4B" w:rsidP="00334F4B">
      <w:pPr>
        <w:spacing w:line="240" w:lineRule="auto"/>
      </w:pPr>
      <w:proofErr w:type="spellStart"/>
      <w:r>
        <w:t>nId</w:t>
      </w:r>
      <w:proofErr w:type="spellEnd"/>
      <w:r>
        <w:t>: the fragment id consistent all the way back to the original graph</w:t>
      </w:r>
    </w:p>
    <w:p w14:paraId="33AAE26C" w14:textId="52B1106D" w:rsidR="00334F4B" w:rsidRDefault="00334F4B" w:rsidP="00334F4B">
      <w:pPr>
        <w:spacing w:line="240" w:lineRule="auto"/>
      </w:pPr>
      <w:proofErr w:type="spellStart"/>
      <w:r>
        <w:t>eType</w:t>
      </w:r>
      <w:proofErr w:type="spellEnd"/>
      <w:r>
        <w:t xml:space="preserve">: each edge at this point is a twin, </w:t>
      </w:r>
      <w:proofErr w:type="spellStart"/>
      <w:r>
        <w:t>eType</w:t>
      </w:r>
      <w:proofErr w:type="spellEnd"/>
      <w:r>
        <w:t xml:space="preserve"> the twin mode</w:t>
      </w:r>
    </w:p>
    <w:p w14:paraId="28116BCD" w14:textId="06C93A75" w:rsidR="00334F4B" w:rsidRDefault="00334F4B" w:rsidP="00334F4B">
      <w:pPr>
        <w:spacing w:line="240" w:lineRule="auto"/>
      </w:pPr>
      <w:proofErr w:type="spellStart"/>
      <w:r>
        <w:t>eVote</w:t>
      </w:r>
      <w:proofErr w:type="spellEnd"/>
      <w:r>
        <w:t xml:space="preserve">: the edge vote is based on the voting scheme weighting Schmid, boundary ratio, </w:t>
      </w:r>
      <w:proofErr w:type="gramStart"/>
      <w:r>
        <w:t>etc..</w:t>
      </w:r>
      <w:proofErr w:type="gramEnd"/>
      <w:r>
        <w:t xml:space="preserve"> </w:t>
      </w:r>
    </w:p>
    <w:p w14:paraId="17C0A1B0" w14:textId="536EA4C5" w:rsidR="00334F4B" w:rsidRDefault="00334F4B" w:rsidP="00334F4B">
      <w:pPr>
        <w:spacing w:line="240" w:lineRule="auto"/>
      </w:pPr>
      <w:proofErr w:type="spellStart"/>
      <w:r>
        <w:t>ePairs</w:t>
      </w:r>
      <w:proofErr w:type="spellEnd"/>
      <w:r>
        <w:t xml:space="preserve">: A list of all pairs nx2 where entries are the </w:t>
      </w:r>
      <w:proofErr w:type="spellStart"/>
      <w:r>
        <w:t>nId</w:t>
      </w:r>
      <w:proofErr w:type="spellEnd"/>
      <w:r>
        <w:t xml:space="preserve"> </w:t>
      </w:r>
    </w:p>
    <w:p w14:paraId="640F3244" w14:textId="08B0ED42" w:rsidR="00334F4B" w:rsidRDefault="00334F4B" w:rsidP="00334F4B">
      <w:pPr>
        <w:spacing w:line="240" w:lineRule="auto"/>
      </w:pPr>
      <w:proofErr w:type="spellStart"/>
      <w:r>
        <w:lastRenderedPageBreak/>
        <w:t>eGlobalId</w:t>
      </w:r>
      <w:proofErr w:type="spellEnd"/>
      <w:r>
        <w:t>: A global edge idea goes back to the original graph</w:t>
      </w:r>
    </w:p>
    <w:p w14:paraId="60577A90" w14:textId="3DCA8E82" w:rsidR="0045746C" w:rsidRDefault="0045746C" w:rsidP="0045746C"/>
    <w:p w14:paraId="1EC9E406" w14:textId="35CBBC85" w:rsidR="00D90645" w:rsidRDefault="00D90645" w:rsidP="0045746C">
      <w:r>
        <w:t xml:space="preserve">Move this </w:t>
      </w:r>
      <w:r w:rsidR="007A295F">
        <w:t xml:space="preserve">next </w:t>
      </w:r>
      <w:r>
        <w:t xml:space="preserve">section to </w:t>
      </w:r>
      <w:r w:rsidR="007A295F">
        <w:t>a function</w:t>
      </w:r>
    </w:p>
    <w:p w14:paraId="76FDEFD9" w14:textId="7AE4495E" w:rsidR="00334F4B" w:rsidRDefault="00334F4B" w:rsidP="0045746C">
      <w:r>
        <w:t>The first step is to compute the family relationship list. T</w:t>
      </w:r>
      <w:r w:rsidR="00B36AF0">
        <w:t>his list is a max(</w:t>
      </w:r>
      <w:proofErr w:type="spellStart"/>
      <w:r w:rsidR="00B36AF0">
        <w:t>nFamily</w:t>
      </w:r>
      <w:proofErr w:type="spellEnd"/>
      <w:r w:rsidR="00B36AF0">
        <w:t>) x max(</w:t>
      </w:r>
      <w:proofErr w:type="spellStart"/>
      <w:r w:rsidR="00B36AF0">
        <w:t>eType</w:t>
      </w:r>
      <w:proofErr w:type="spellEnd"/>
      <w:r w:rsidR="00B36AF0">
        <w:t>) cell array each cell containing a logical array of size(</w:t>
      </w:r>
      <w:proofErr w:type="spellStart"/>
      <w:r w:rsidR="00B36AF0">
        <w:t>ePairs</w:t>
      </w:r>
      <w:proofErr w:type="spellEnd"/>
      <w:r w:rsidR="00B36AF0">
        <w:t>) that</w:t>
      </w:r>
      <w:r w:rsidR="00897737">
        <w:t xml:space="preserve"> is only true if the Family id and edge type are both true.</w:t>
      </w:r>
      <w:r w:rsidR="00B36AF0">
        <w:t xml:space="preserve"> </w:t>
      </w:r>
      <w:bookmarkStart w:id="6" w:name="_GoBack"/>
      <w:bookmarkEnd w:id="6"/>
    </w:p>
    <w:p w14:paraId="4434A734" w14:textId="09739D59" w:rsidR="000F5D7A" w:rsidRDefault="00613DBF" w:rsidP="0045746C">
      <w:r>
        <w:t xml:space="preserve">The next step is to </w:t>
      </w:r>
      <w:r w:rsidR="000F5D7A">
        <w:t xml:space="preserve">sum the votes for a given family and edge type using the family relationship list to index </w:t>
      </w:r>
      <w:proofErr w:type="spellStart"/>
      <w:r w:rsidR="000F5D7A">
        <w:t>eVote</w:t>
      </w:r>
      <w:proofErr w:type="spellEnd"/>
      <w:r w:rsidR="000F5D7A">
        <w:t xml:space="preserve">. The resulting array </w:t>
      </w:r>
      <w:proofErr w:type="spellStart"/>
      <w:r w:rsidR="000F5D7A">
        <w:t>eVotesSummed</w:t>
      </w:r>
      <w:proofErr w:type="spellEnd"/>
      <w:r w:rsidR="000F5D7A">
        <w:t xml:space="preserve"> is a double array of size max(</w:t>
      </w:r>
      <w:proofErr w:type="spellStart"/>
      <w:r w:rsidR="000F5D7A">
        <w:t>nFamily</w:t>
      </w:r>
      <w:proofErr w:type="spellEnd"/>
      <w:r w:rsidR="000F5D7A">
        <w:t>) x max(</w:t>
      </w:r>
      <w:proofErr w:type="spellStart"/>
      <w:r w:rsidR="000F5D7A">
        <w:t>eType</w:t>
      </w:r>
      <w:proofErr w:type="spellEnd"/>
      <w:r w:rsidR="000F5D7A">
        <w:t xml:space="preserve">) containing </w:t>
      </w:r>
      <w:r w:rsidR="00156F9E">
        <w:t xml:space="preserve">a vote for each edge. If multiple edges share the </w:t>
      </w:r>
      <w:proofErr w:type="spellStart"/>
      <w:r w:rsidR="00156F9E">
        <w:t>familyId</w:t>
      </w:r>
      <w:proofErr w:type="spellEnd"/>
      <w:r w:rsidR="00156F9E">
        <w:t xml:space="preserve"> and </w:t>
      </w:r>
      <w:proofErr w:type="spellStart"/>
      <w:r w:rsidR="00156F9E">
        <w:t>eType</w:t>
      </w:r>
      <w:proofErr w:type="spellEnd"/>
      <w:r w:rsidR="00156F9E">
        <w:t xml:space="preserve"> they receive the same vote. The Parent array is a logical array of size(</w:t>
      </w:r>
      <w:proofErr w:type="spellStart"/>
      <w:r w:rsidR="00156F9E">
        <w:t>ePairs</w:t>
      </w:r>
      <w:proofErr w:type="spellEnd"/>
      <w:r w:rsidR="00156F9E">
        <w:t>)</w:t>
      </w:r>
      <w:r w:rsidR="00F65601">
        <w:t xml:space="preserve"> defining which node of an edge is the parent node and which is the twin</w:t>
      </w:r>
      <w:r w:rsidR="00D90645">
        <w:t xml:space="preserve"> node</w:t>
      </w:r>
      <w:r w:rsidR="00F34BA5">
        <w:t>.</w:t>
      </w:r>
    </w:p>
    <w:p w14:paraId="4CE0C748" w14:textId="109CD9B4" w:rsidR="007A295F" w:rsidRDefault="007A295F" w:rsidP="0045746C">
      <w:r>
        <w:t>Move this next section to a function</w:t>
      </w:r>
    </w:p>
    <w:p w14:paraId="56E7F8F4" w14:textId="77777777" w:rsidR="0045746C" w:rsidRPr="0045746C" w:rsidRDefault="0045746C" w:rsidP="0045746C"/>
    <w:p w14:paraId="508979FA" w14:textId="2D7C1A0A" w:rsidR="00F77F5D" w:rsidRDefault="00F77F5D" w:rsidP="00F77F5D">
      <w:pPr>
        <w:pStyle w:val="Heading3"/>
      </w:pPr>
      <w:r>
        <w:t>Description of dealing with circular relationships and incorrectly added grains</w:t>
      </w:r>
    </w:p>
    <w:p w14:paraId="0CFFAD94" w14:textId="08D203F7" w:rsidR="0095026A" w:rsidRPr="0095026A" w:rsidRDefault="0095026A" w:rsidP="0095026A">
      <w:r>
        <w:t>Add some special twin filtering here</w:t>
      </w:r>
    </w:p>
    <w:p w14:paraId="3BA0C515" w14:textId="4F348917" w:rsidR="0095026A" w:rsidRPr="0095026A" w:rsidRDefault="0095026A" w:rsidP="0095026A">
      <w:pPr>
        <w:pStyle w:val="Heading2"/>
      </w:pPr>
      <w:r>
        <w:t>Twin Filtering</w:t>
      </w:r>
    </w:p>
    <w:p w14:paraId="6516482B" w14:textId="77777777" w:rsidR="00F77F5D" w:rsidRDefault="00843081" w:rsidP="00843081">
      <w:pPr>
        <w:pStyle w:val="Heading2"/>
      </w:pPr>
      <w:r>
        <w:t>Manual Corrections</w:t>
      </w:r>
    </w:p>
    <w:p w14:paraId="61F834E1" w14:textId="77777777" w:rsidR="00F77F5D" w:rsidRDefault="00F77F5D" w:rsidP="00F77F5D">
      <w:pPr>
        <w:pStyle w:val="Heading3"/>
      </w:pPr>
      <w:r>
        <w:t>Changing Parent</w:t>
      </w:r>
    </w:p>
    <w:p w14:paraId="4EEC6EE9" w14:textId="77777777" w:rsidR="00F77F5D" w:rsidRDefault="00F77F5D" w:rsidP="00F77F5D">
      <w:pPr>
        <w:pStyle w:val="Heading3"/>
      </w:pPr>
      <w:r>
        <w:t>Deleting edge</w:t>
      </w:r>
    </w:p>
    <w:p w14:paraId="1A272174" w14:textId="6E379797" w:rsidR="00843081" w:rsidRDefault="00F77F5D" w:rsidP="00F77F5D">
      <w:pPr>
        <w:pStyle w:val="Heading3"/>
      </w:pPr>
      <w:r>
        <w:t xml:space="preserve">Adding edge (twin) </w:t>
      </w:r>
    </w:p>
    <w:p w14:paraId="72C98C92" w14:textId="65BF5D43" w:rsidR="00843081" w:rsidRDefault="00843081" w:rsidP="00843081">
      <w:pPr>
        <w:pStyle w:val="Heading2"/>
      </w:pPr>
      <w:r>
        <w:t xml:space="preserve">Build Family Tree </w:t>
      </w:r>
    </w:p>
    <w:p w14:paraId="7969B245" w14:textId="52CD5E2E" w:rsidR="00023B60" w:rsidRPr="00023B60" w:rsidRDefault="00023B60" w:rsidP="00023B60">
      <w:r>
        <w:t>Algorithm used</w:t>
      </w:r>
    </w:p>
    <w:p w14:paraId="1AC69279" w14:textId="4A15BD6C" w:rsidR="00843081" w:rsidRDefault="00843081" w:rsidP="00843081">
      <w:pPr>
        <w:pStyle w:val="Heading2"/>
      </w:pPr>
      <w:r>
        <w:t>Twin Geometry Reconstruction</w:t>
      </w:r>
    </w:p>
    <w:p w14:paraId="3F10C628" w14:textId="5C5B19D6" w:rsidR="00023B60" w:rsidRPr="00023B60" w:rsidRDefault="00023B60" w:rsidP="00023B60">
      <w:r>
        <w:t>Algorithms used</w:t>
      </w:r>
    </w:p>
    <w:p w14:paraId="41701FB0" w14:textId="708006D5" w:rsidR="00843081" w:rsidRPr="00843081" w:rsidRDefault="00843081" w:rsidP="00843081">
      <w:pPr>
        <w:pStyle w:val="Heading2"/>
      </w:pPr>
      <w:r>
        <w:t>Twin Statistics</w:t>
      </w:r>
    </w:p>
    <w:p w14:paraId="09DF0C1B" w14:textId="4CD33C7F" w:rsidR="00843081" w:rsidRPr="00843081" w:rsidRDefault="00023B60" w:rsidP="00843081">
      <w:r>
        <w:t>Various metrics that are computed</w:t>
      </w:r>
    </w:p>
    <w:p w14:paraId="20BAC639" w14:textId="38534BCE" w:rsidR="00D84FDF" w:rsidRDefault="00D84FDF" w:rsidP="00D84FDF"/>
    <w:p w14:paraId="6E8FE22B" w14:textId="77777777" w:rsidR="00D84FDF" w:rsidRPr="00D84FDF" w:rsidRDefault="00D84FDF" w:rsidP="00D84FDF"/>
    <w:p w14:paraId="5EA9E533" w14:textId="06A961D5" w:rsidR="00922E03" w:rsidRDefault="00922E03" w:rsidP="00922E03">
      <w:pPr>
        <w:pStyle w:val="Heading2"/>
      </w:pPr>
      <w:r>
        <w:t>References</w:t>
      </w:r>
    </w:p>
    <w:p w14:paraId="04C09BAE" w14:textId="77777777" w:rsidR="00922E03" w:rsidRPr="00922E03" w:rsidRDefault="00922E03" w:rsidP="00922E03">
      <w:pPr>
        <w:pStyle w:val="EndNoteBibliography"/>
        <w:spacing w:after="0"/>
      </w:pPr>
      <w:r>
        <w:fldChar w:fldCharType="begin"/>
      </w:r>
      <w:r>
        <w:instrText xml:space="preserve"> ADDIN EN.REFLIST </w:instrText>
      </w:r>
      <w:r>
        <w:fldChar w:fldCharType="separate"/>
      </w:r>
      <w:r w:rsidRPr="00922E03">
        <w:t xml:space="preserve">Marshall, P. E., G. Proust, J. T. Rogers and R. J. McCabe (2010). "Automatic twin statistics from electron backscattered diffraction data." </w:t>
      </w:r>
      <w:r w:rsidRPr="00922E03">
        <w:rPr>
          <w:u w:val="single"/>
        </w:rPr>
        <w:t>J Microsc</w:t>
      </w:r>
      <w:r w:rsidRPr="00922E03">
        <w:t xml:space="preserve"> </w:t>
      </w:r>
      <w:r w:rsidRPr="00922E03">
        <w:rPr>
          <w:b/>
        </w:rPr>
        <w:t>238</w:t>
      </w:r>
      <w:r w:rsidRPr="00922E03">
        <w:t>(3): 218-229.</w:t>
      </w:r>
    </w:p>
    <w:p w14:paraId="1E18C8D6" w14:textId="77777777" w:rsidR="00922E03" w:rsidRPr="00922E03" w:rsidRDefault="00922E03" w:rsidP="00922E03">
      <w:pPr>
        <w:pStyle w:val="EndNoteBibliography"/>
      </w:pPr>
      <w:r w:rsidRPr="00922E03">
        <w:t xml:space="preserve">Pradalier, C., P.-A. Juan, R. J. McCabe and L. Capolungo (2018). </w:t>
      </w:r>
      <w:r w:rsidRPr="00922E03">
        <w:rPr>
          <w:u w:val="single"/>
        </w:rPr>
        <w:t>A Graph Theory-Based Automated Twin Recognition Technique for Electron Backscatter Diffraction Analysis</w:t>
      </w:r>
      <w:r w:rsidRPr="00922E03">
        <w:t>.</w:t>
      </w:r>
    </w:p>
    <w:p w14:paraId="1EF61226" w14:textId="4A5E48B9" w:rsidR="00922E03" w:rsidRPr="00922E03" w:rsidRDefault="00922E03" w:rsidP="00922E03">
      <w:r>
        <w:fldChar w:fldCharType="end"/>
      </w:r>
    </w:p>
    <w:sectPr w:rsidR="00922E03" w:rsidRPr="00922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1855"/>
    <w:multiLevelType w:val="multilevel"/>
    <w:tmpl w:val="4284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E6419"/>
    <w:multiLevelType w:val="multilevel"/>
    <w:tmpl w:val="AF78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E3032"/>
    <w:multiLevelType w:val="multilevel"/>
    <w:tmpl w:val="3CA0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17575"/>
    <w:multiLevelType w:val="multilevel"/>
    <w:tmpl w:val="A2D6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E319E"/>
    <w:multiLevelType w:val="multilevel"/>
    <w:tmpl w:val="71EC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SwNDIC0qZG5maGxko6SsGpxcWZ+XkgBYa1APUDGVUsAAAA"/>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a2zz9k9faxoevf9kv2s22wwz0favs909z&quot;&gt;Library_10_31_17 Copy&lt;record-ids&gt;&lt;item&gt;465&lt;/item&gt;&lt;item&gt;741&lt;/item&gt;&lt;/record-ids&gt;&lt;/item&gt;&lt;/Libraries&gt;"/>
  </w:docVars>
  <w:rsids>
    <w:rsidRoot w:val="00652E9D"/>
    <w:rsid w:val="00011581"/>
    <w:rsid w:val="00023B60"/>
    <w:rsid w:val="000B5D4C"/>
    <w:rsid w:val="000F5D7A"/>
    <w:rsid w:val="00156F9E"/>
    <w:rsid w:val="00327E68"/>
    <w:rsid w:val="00334F4B"/>
    <w:rsid w:val="00360B66"/>
    <w:rsid w:val="00366937"/>
    <w:rsid w:val="0045746C"/>
    <w:rsid w:val="004A3939"/>
    <w:rsid w:val="004E6CB1"/>
    <w:rsid w:val="00540B6D"/>
    <w:rsid w:val="005E048B"/>
    <w:rsid w:val="005E437D"/>
    <w:rsid w:val="00613DBF"/>
    <w:rsid w:val="00652E9D"/>
    <w:rsid w:val="006840CA"/>
    <w:rsid w:val="007A295F"/>
    <w:rsid w:val="00843081"/>
    <w:rsid w:val="00897737"/>
    <w:rsid w:val="00922E03"/>
    <w:rsid w:val="0092468E"/>
    <w:rsid w:val="0095026A"/>
    <w:rsid w:val="009C5BBA"/>
    <w:rsid w:val="009E14F4"/>
    <w:rsid w:val="00A711C3"/>
    <w:rsid w:val="00A96A1B"/>
    <w:rsid w:val="00B36AF0"/>
    <w:rsid w:val="00D84FDF"/>
    <w:rsid w:val="00D90645"/>
    <w:rsid w:val="00EC18D2"/>
    <w:rsid w:val="00F34BA5"/>
    <w:rsid w:val="00F56EC1"/>
    <w:rsid w:val="00F65601"/>
    <w:rsid w:val="00F7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753B"/>
  <w15:chartTrackingRefBased/>
  <w15:docId w15:val="{E5FF9AE3-5F9C-4270-9A20-982EE00C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E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E0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922E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22E03"/>
    <w:rPr>
      <w:rFonts w:ascii="Calibri" w:hAnsi="Calibri" w:cs="Calibri"/>
      <w:noProof/>
    </w:rPr>
  </w:style>
  <w:style w:type="paragraph" w:customStyle="1" w:styleId="EndNoteBibliography">
    <w:name w:val="EndNote Bibliography"/>
    <w:basedOn w:val="Normal"/>
    <w:link w:val="EndNoteBibliographyChar"/>
    <w:rsid w:val="00922E0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22E03"/>
    <w:rPr>
      <w:rFonts w:ascii="Calibri" w:hAnsi="Calibri" w:cs="Calibri"/>
      <w:noProof/>
    </w:rPr>
  </w:style>
  <w:style w:type="character" w:customStyle="1" w:styleId="Heading3Char">
    <w:name w:val="Heading 3 Char"/>
    <w:basedOn w:val="DefaultParagraphFont"/>
    <w:link w:val="Heading3"/>
    <w:uiPriority w:val="9"/>
    <w:rsid w:val="00A96A1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1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011581"/>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A7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8786">
      <w:bodyDiv w:val="1"/>
      <w:marLeft w:val="0"/>
      <w:marRight w:val="0"/>
      <w:marTop w:val="0"/>
      <w:marBottom w:val="0"/>
      <w:divBdr>
        <w:top w:val="none" w:sz="0" w:space="0" w:color="auto"/>
        <w:left w:val="none" w:sz="0" w:space="0" w:color="auto"/>
        <w:bottom w:val="none" w:sz="0" w:space="0" w:color="auto"/>
        <w:right w:val="none" w:sz="0" w:space="0" w:color="auto"/>
      </w:divBdr>
    </w:div>
    <w:div w:id="205223347">
      <w:bodyDiv w:val="1"/>
      <w:marLeft w:val="0"/>
      <w:marRight w:val="0"/>
      <w:marTop w:val="0"/>
      <w:marBottom w:val="0"/>
      <w:divBdr>
        <w:top w:val="none" w:sz="0" w:space="0" w:color="auto"/>
        <w:left w:val="none" w:sz="0" w:space="0" w:color="auto"/>
        <w:bottom w:val="none" w:sz="0" w:space="0" w:color="auto"/>
        <w:right w:val="none" w:sz="0" w:space="0" w:color="auto"/>
      </w:divBdr>
    </w:div>
    <w:div w:id="235629708">
      <w:bodyDiv w:val="1"/>
      <w:marLeft w:val="0"/>
      <w:marRight w:val="0"/>
      <w:marTop w:val="0"/>
      <w:marBottom w:val="0"/>
      <w:divBdr>
        <w:top w:val="none" w:sz="0" w:space="0" w:color="auto"/>
        <w:left w:val="none" w:sz="0" w:space="0" w:color="auto"/>
        <w:bottom w:val="none" w:sz="0" w:space="0" w:color="auto"/>
        <w:right w:val="none" w:sz="0" w:space="0" w:color="auto"/>
      </w:divBdr>
    </w:div>
    <w:div w:id="569848991">
      <w:bodyDiv w:val="1"/>
      <w:marLeft w:val="0"/>
      <w:marRight w:val="0"/>
      <w:marTop w:val="0"/>
      <w:marBottom w:val="0"/>
      <w:divBdr>
        <w:top w:val="none" w:sz="0" w:space="0" w:color="auto"/>
        <w:left w:val="none" w:sz="0" w:space="0" w:color="auto"/>
        <w:bottom w:val="none" w:sz="0" w:space="0" w:color="auto"/>
        <w:right w:val="none" w:sz="0" w:space="0" w:color="auto"/>
      </w:divBdr>
    </w:div>
    <w:div w:id="905917438">
      <w:bodyDiv w:val="1"/>
      <w:marLeft w:val="0"/>
      <w:marRight w:val="0"/>
      <w:marTop w:val="0"/>
      <w:marBottom w:val="0"/>
      <w:divBdr>
        <w:top w:val="none" w:sz="0" w:space="0" w:color="auto"/>
        <w:left w:val="none" w:sz="0" w:space="0" w:color="auto"/>
        <w:bottom w:val="none" w:sz="0" w:space="0" w:color="auto"/>
        <w:right w:val="none" w:sz="0" w:space="0" w:color="auto"/>
      </w:divBdr>
    </w:div>
    <w:div w:id="1307974157">
      <w:bodyDiv w:val="1"/>
      <w:marLeft w:val="0"/>
      <w:marRight w:val="0"/>
      <w:marTop w:val="0"/>
      <w:marBottom w:val="0"/>
      <w:divBdr>
        <w:top w:val="none" w:sz="0" w:space="0" w:color="auto"/>
        <w:left w:val="none" w:sz="0" w:space="0" w:color="auto"/>
        <w:bottom w:val="none" w:sz="0" w:space="0" w:color="auto"/>
        <w:right w:val="none" w:sz="0" w:space="0" w:color="auto"/>
      </w:divBdr>
    </w:div>
    <w:div w:id="1312371900">
      <w:bodyDiv w:val="1"/>
      <w:marLeft w:val="0"/>
      <w:marRight w:val="0"/>
      <w:marTop w:val="0"/>
      <w:marBottom w:val="0"/>
      <w:divBdr>
        <w:top w:val="none" w:sz="0" w:space="0" w:color="auto"/>
        <w:left w:val="none" w:sz="0" w:space="0" w:color="auto"/>
        <w:bottom w:val="none" w:sz="0" w:space="0" w:color="auto"/>
        <w:right w:val="none" w:sz="0" w:space="0" w:color="auto"/>
      </w:divBdr>
    </w:div>
    <w:div w:id="19950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CD76E-B5D6-4781-A9C0-F4D502919F1C}">
  <we:reference id="wa104382008" version="1.0.0.0" store="en-US"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403</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Savage</dc:creator>
  <cp:keywords/>
  <dc:description/>
  <cp:lastModifiedBy>Daniel Savage</cp:lastModifiedBy>
  <cp:revision>11</cp:revision>
  <dcterms:created xsi:type="dcterms:W3CDTF">2019-04-16T12:43:00Z</dcterms:created>
  <dcterms:modified xsi:type="dcterms:W3CDTF">2019-04-16T19:29:00Z</dcterms:modified>
</cp:coreProperties>
</file>