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Exploring the Lived Experiences of Patients with Unoperated Cleft Lip and Palate in Yemen: A Qualitative Phenomenological Study</w:t>
      </w:r>
    </w:p>
    <w:p>
      <w:pPr>
        <w:spacing w:after="480"/>
        <w:jc w:val="center"/>
      </w:pPr>
      <w:r>
        <w:rPr>
          <w:b/>
          <w:bCs/>
        </w:rPr>
        <w:t xml:space="preserve">Short running title: </w:t>
      </w:r>
      <w:r>
        <w:t xml:space="preserve">Lived Experiences of Unoperated Clefts in Yemen</w:t>
      </w:r>
    </w:p>
    <w:p>
      <w:pPr>
        <w:pStyle w:val="Heading1"/>
      </w:pPr>
      <w:r>
        <w:t xml:space="preserve">Abstract</w:t>
      </w:r>
    </w:p>
    <w:p>
      <w:pPr>
        <w:spacing w:after="120"/>
      </w:pPr>
      <w:r>
        <w:rPr>
          <w:highlight w:val="yellow"/>
        </w:rPr>
        <w:t xml:space="preserve">[TEMPLATE NOTE: The structured abstract below was drafted from the study summary and must be reconciled with the authors’ own abstract. The journal requires these eight headings and a maximum of 250 words. Delete this note before submission.]</w:t>
      </w:r>
    </w:p>
    <w:p>
      <w:r>
        <w:rPr>
          <w:b/>
          <w:bCs/>
        </w:rPr>
        <w:t xml:space="preserve">Objective: </w:t>
      </w:r>
      <w:r>
        <w:t xml:space="preserve">To explore the lived experiences of adolescents and young adults with unoperated cleft lip and/or palate (CL/P) in Yemen, including patient-perceived barriers to surgical care and sources of resilience.</w:t>
      </w:r>
    </w:p>
    <w:p>
      <w:r>
        <w:rPr>
          <w:b/>
          <w:bCs/>
        </w:rPr>
        <w:t xml:space="preserve">Design: </w:t>
      </w:r>
      <w:r>
        <w:t xml:space="preserve">Qualitative study using an interpretivist descriptive phenomenological approach. Semi-structured interviews were analyzed by reflexive thematic analysis following Braun and Clarke’s six-phase framework and reported according to COREQ.</w:t>
      </w:r>
    </w:p>
    <w:p>
      <w:r>
        <w:rPr>
          <w:b/>
          <w:bCs/>
        </w:rPr>
        <w:t xml:space="preserve">Setting: </w:t>
      </w:r>
      <w:r>
        <w:t xml:space="preserve">Urban and rural communities and surgical outreach screening clinics in Yemen, 2022.</w:t>
      </w:r>
    </w:p>
    <w:p>
      <w:r>
        <w:rPr>
          <w:b/>
          <w:bCs/>
        </w:rPr>
        <w:t xml:space="preserve">Patients/Participants: </w:t>
      </w:r>
      <w:r>
        <w:t xml:space="preserve">Ten purposively sampled patients with unoperated CL/P (6 males, 4 females; aged 11 to 20 years).</w:t>
      </w:r>
    </w:p>
    <w:p>
      <w:r>
        <w:rPr>
          <w:b/>
          <w:bCs/>
        </w:rPr>
        <w:t xml:space="preserve">Interventions: </w:t>
      </w:r>
      <w:r>
        <w:t xml:space="preserve">None.</w:t>
      </w:r>
    </w:p>
    <w:p>
      <w:r>
        <w:rPr>
          <w:b/>
          <w:bCs/>
        </w:rPr>
        <w:t xml:space="preserve">Main Outcome Measure(s): </w:t>
      </w:r>
      <w:r>
        <w:t xml:space="preserve">Participants’ accounts of self-perception, social and psychological experiences, barriers to surgery, and coping, drawn from audio-recorded Arabic interviews (60 to 90 minutes) coded independently by two researchers in NVivo 12.</w:t>
      </w:r>
    </w:p>
    <w:p>
      <w:r>
        <w:rPr>
          <w:b/>
          <w:bCs/>
        </w:rPr>
        <w:t xml:space="preserve">Results: </w:t>
      </w:r>
      <w:r>
        <w:t xml:space="preserve">Five interconnected themes emerged: (1) personal perceptions and self-image, including mirror avoidance and fears of romantic and marital exclusion; (2) social isolation and stigmatization, including peer bullying, school attrition, and restricted employment; (3) emotional and psychological impact, including sadness, invisibility, and masked depressive symptoms; (4) barriers to surgery, including poverty, distance from maxillofacial services, lack of referral awareness, parental fear of anesthesia, and religious and cultural misconceptions about altering divine creation; and (5) coping and aspirations, expressed through poetry, sport, academic dedication, sibling support, and prosocial ambitions.</w:t>
      </w:r>
    </w:p>
    <w:p>
      <w:r>
        <w:rPr>
          <w:b/>
          <w:bCs/>
        </w:rPr>
        <w:t xml:space="preserve">Conclusions: </w:t>
      </w:r>
      <w:r>
        <w:t xml:space="preserve">Unoperated CL/P in conflict-affected Yemen imposes a multidimensional burden beyond the physical defect. Decentralized surgical outreach and travel support should be paired with speech rehabilitation, psychological support, and culturally sensitive community education engaging local and religious leaders.</w:t>
      </w:r>
    </w:p>
    <w:p>
      <w:pPr>
        <w:spacing w:before="240"/>
      </w:pPr>
      <w:r>
        <w:rPr>
          <w:b/>
          <w:bCs/>
        </w:rPr>
        <w:t xml:space="preserve">Keywords: </w:t>
      </w:r>
      <w:r>
        <w:t xml:space="preserve">cleft lip and palate; unoperated cleft; qualitative research; stigma; access to surgical care; Yemen</w:t>
      </w:r>
    </w:p>
    <w:p>
      <w:pPr>
        <w:pStyle w:val="Heading1"/>
        <w:pageBreakBefore/>
      </w:pPr>
      <w:r>
        <w:t xml:space="preserve">Introduction</w:t>
      </w:r>
    </w:p>
    <w:p>
      <w:pPr>
        <w:spacing w:after="120"/>
      </w:pPr>
      <w:r>
        <w:rPr>
          <w:highlight w:val="yellow"/>
        </w:rPr>
        <w:t xml:space="preserve">[Insert Introduction (approximately 3 to 4 paragraphs): global burden and standard of care for cleft lip and/or palate; the Yemeni context (conflict, health-system fragility, socioeconomic and cultural barriers) and the population of unoperated adolescents and young adults; the gap in the literature (postoperative outcomes in high-income settings and caregiver perspectives in infancy); and the study aim. Cite references in superscript Arabic numerals in order of first appearance (AMA style).]</w:t>
      </w:r>
    </w:p>
    <w:p>
      <w:pPr>
        <w:pStyle w:val="Heading1"/>
      </w:pPr>
      <w:r>
        <w:t xml:space="preserve">Methods</w:t>
      </w:r>
    </w:p>
    <w:p>
      <w:pPr>
        <w:pStyle w:val="Heading2"/>
      </w:pPr>
      <w:r>
        <w:t xml:space="preserve">Research Design and Theoretical Framework</w:t>
      </w:r>
    </w:p>
    <w:p>
      <w:pPr>
        <w:spacing w:after="120"/>
      </w:pPr>
      <w:r>
        <w:rPr>
          <w:highlight w:val="yellow"/>
        </w:rPr>
        <w:t xml:space="preserve">[Insert text. Must address COREQ item 9: interpretivist descriptive phenomenology; reflexive thematic analysis (Braun and Clarke, six phases); COREQ-guided reporting.]</w:t>
      </w:r>
    </w:p>
    <w:p>
      <w:pPr>
        <w:pStyle w:val="Heading2"/>
      </w:pPr>
      <w:r>
        <w:t xml:space="preserve">Study Setting and Participant Recruitment</w:t>
      </w:r>
    </w:p>
    <w:p>
      <w:pPr>
        <w:spacing w:after="120"/>
      </w:pPr>
      <w:r>
        <w:rPr>
          <w:highlight w:val="yellow"/>
        </w:rPr>
        <w:t xml:space="preserve">[Insert text. Must address COREQ items 7, 10, 11, 12, 16, and 22: urban and rural catchment areas in Yemen (2022); purposive sampling with maximum variation; face-to-face referral via local healthcare providers, NGOs, surgical outreach camps, and clinic gatekeepers; eligibility criteria; final sample of 10 (6 males, 4 females; aged 11 to 20 years); explanation of the study in Arabic during consent; thematic saturation after 10 interviews.]</w:t>
      </w:r>
    </w:p>
    <w:p>
      <w:pPr>
        <w:pStyle w:val="Heading2"/>
      </w:pPr>
      <w:r>
        <w:t xml:space="preserve">Data Collection Procedures</w:t>
      </w:r>
    </w:p>
    <w:p>
      <w:pPr>
        <w:spacing w:after="120"/>
      </w:pPr>
      <w:r>
        <w:rPr>
          <w:highlight w:val="yellow"/>
        </w:rPr>
        <w:t xml:space="preserve">[Insert text. Must address COREQ items 1, 4, 5, 14, 15, 17, 18, 19, 20, and 21: who interviewed (principal investigator; trained female interviewer available for female participants) and their training; private rooms in homes, community centers, or outreach screening clinics; presence of others; interview guide pilot tested with 2 participants (Supplementary Material 1); single interview per participant; audio recording; field notes; duration 60 to 90 minutes; transcription and translation procedures.]</w:t>
      </w:r>
    </w:p>
    <w:p>
      <w:pPr>
        <w:pStyle w:val="Heading2"/>
      </w:pPr>
      <w:r>
        <w:t xml:space="preserve">Data Analysis</w:t>
      </w:r>
    </w:p>
    <w:p>
      <w:pPr>
        <w:spacing w:after="120"/>
      </w:pPr>
      <w:r>
        <w:rPr>
          <w:highlight w:val="yellow"/>
        </w:rPr>
        <w:t xml:space="preserve">[Insert text. Must address COREQ items 24, 26, and 27: two bilingual researchers coding independently and cross-checking; inductive derivation of themes through the six phases; NVivo 12; how translation equivalence was checked.]</w:t>
      </w:r>
    </w:p>
    <w:p>
      <w:pPr>
        <w:pStyle w:val="Heading2"/>
      </w:pPr>
      <w:r>
        <w:t xml:space="preserve">Rigor, Trustworthiness, and Reflexivity</w:t>
      </w:r>
    </w:p>
    <w:p>
      <w:pPr>
        <w:spacing w:after="120"/>
      </w:pPr>
      <w:r>
        <w:rPr>
          <w:highlight w:val="yellow"/>
        </w:rPr>
        <w:t xml:space="preserve">[Insert text. Must address COREQ items 2, 3, 6, 8, 23, and 28: researcher credentials and occupation (stated without names or institutions); prior relationship and rapport-building through coordinators; reflexive journaling to bracket clinical preconceptions; real-time oral member checking at the close of interviews (transcripts not returned); credibility, dependability, confirmability, and transferability strategies.]</w:t>
      </w:r>
    </w:p>
    <w:p>
      <w:pPr>
        <w:pStyle w:val="Heading2"/>
      </w:pPr>
      <w:r>
        <w:t xml:space="preserve">Ethical Considerations</w:t>
      </w:r>
    </w:p>
    <w:p>
      <w:pPr>
        <w:spacing w:after="120"/>
      </w:pPr>
      <w:r>
        <w:rPr>
          <w:highlight w:val="yellow"/>
        </w:rPr>
        <w:t xml:space="preserve">[Insert text. Must address COREQ items 4, 5, and 13. Keep this section anonymized for peer review, for example: "The study was approved by the institutional ethics committee of [institution blinded for peer review] (approval number blinded for peer review) and conducted in accordance with the Declaration of Helsinki. Written informed consent was obtained from adult participants; written parental or guardian consent and adolescent assent were obtained for participants younger than 18 years. All consented participants completed the interview, and none withdrew." The full committee name and approval number appear on the title page.]</w:t>
      </w:r>
    </w:p>
    <w:p>
      <w:pPr>
        <w:pStyle w:val="Heading2"/>
      </w:pPr>
      <w:r>
        <w:t xml:space="preserve">Patient and Public Involvement</w:t>
      </w:r>
    </w:p>
    <w:p>
      <w:pPr>
        <w:spacing w:after="120"/>
      </w:pPr>
      <w:r>
        <w:rPr>
          <w:highlight w:val="yellow"/>
        </w:rPr>
        <w:t xml:space="preserve">[Insert text. Must address COREQ items 6 and 28: consultation with community and clinic coordinators; Arabic-language community briefings for dissemination.]</w:t>
      </w:r>
    </w:p>
    <w:p>
      <w:pPr>
        <w:pStyle w:val="Heading1"/>
      </w:pPr>
      <w:r>
        <w:t xml:space="preserve">Results</w:t>
      </w:r>
    </w:p>
    <w:p>
      <w:pPr>
        <w:pStyle w:val="Heading2"/>
      </w:pPr>
      <w:r>
        <w:t xml:space="preserve">Participant Characteristics</w:t>
      </w:r>
    </w:p>
    <w:p>
      <w:pPr>
        <w:spacing w:after="120"/>
      </w:pPr>
      <w:r>
        <w:rPr>
          <w:highlight w:val="yellow"/>
        </w:rPr>
        <w:t xml:space="preserve">[Insert text summarizing Table 1: 10 participants, 6 males and 4 females, aged 11 to 20 years, urban and rural residence, cleft type, schooling or employment status.]</w:t>
      </w:r>
    </w:p>
    <w:p>
      <w:pPr>
        <w:pStyle w:val="Heading2"/>
      </w:pPr>
      <w:r>
        <w:t xml:space="preserve">Theme 1: Personal Perceptions and Self-Image</w:t>
      </w:r>
    </w:p>
    <w:p>
      <w:pPr>
        <w:spacing w:after="120"/>
      </w:pPr>
      <w:r>
        <w:rPr>
          <w:highlight w:val="yellow"/>
        </w:rPr>
        <w:t xml:space="preserve">[Insert theme narrative with verbatim quotations. Identify each quotation by pseudonym and age, for example (Pseudonym, 16 years). COREQ items 29 to 31.]</w:t>
      </w:r>
    </w:p>
    <w:p>
      <w:pPr>
        <w:pStyle w:val="Heading3"/>
      </w:pPr>
      <w:r>
        <w:t xml:space="preserve">Subtheme 1.1: Romantic and Marital Anxieties</w:t>
      </w:r>
    </w:p>
    <w:p>
      <w:pPr>
        <w:spacing w:after="120"/>
      </w:pPr>
      <w:r>
        <w:rPr>
          <w:highlight w:val="yellow"/>
        </w:rPr>
        <w:t xml:space="preserve">[Insert subtheme narrative and quotations. COREQ item 32.]</w:t>
      </w:r>
    </w:p>
    <w:p>
      <w:pPr>
        <w:pStyle w:val="Heading2"/>
      </w:pPr>
      <w:r>
        <w:t xml:space="preserve">Theme 2: Social Isolation and Stigmatization</w:t>
      </w:r>
    </w:p>
    <w:p>
      <w:pPr>
        <w:spacing w:after="120"/>
      </w:pPr>
      <w:r>
        <w:rPr>
          <w:highlight w:val="yellow"/>
        </w:rPr>
        <w:t xml:space="preserve">[Insert theme narrative with verbatim quotations. Identify each quotation by pseudonym and age, for example (Pseudonym, 16 years). COREQ items 29 to 31.]</w:t>
      </w:r>
    </w:p>
    <w:p>
      <w:pPr>
        <w:pStyle w:val="Heading3"/>
      </w:pPr>
      <w:r>
        <w:t xml:space="preserve">Subtheme 2.1: Education and Employment ("School as a Battlefield")</w:t>
      </w:r>
    </w:p>
    <w:p>
      <w:pPr>
        <w:spacing w:after="120"/>
      </w:pPr>
      <w:r>
        <w:rPr>
          <w:highlight w:val="yellow"/>
        </w:rPr>
        <w:t xml:space="preserve">[Insert subtheme narrative and quotations. COREQ item 32.]</w:t>
      </w:r>
    </w:p>
    <w:p>
      <w:pPr>
        <w:pStyle w:val="Heading2"/>
      </w:pPr>
      <w:r>
        <w:t xml:space="preserve">Theme 3: Emotional and Psychological Impact</w:t>
      </w:r>
    </w:p>
    <w:p>
      <w:pPr>
        <w:spacing w:after="120"/>
      </w:pPr>
      <w:r>
        <w:rPr>
          <w:highlight w:val="yellow"/>
        </w:rPr>
        <w:t xml:space="preserve">[Insert theme narrative with verbatim quotations. Identify each quotation by pseudonym and age, for example (Pseudonym, 16 years). COREQ items 29 to 31.]</w:t>
      </w:r>
    </w:p>
    <w:p>
      <w:pPr>
        <w:pStyle w:val="Heading3"/>
      </w:pPr>
      <w:r>
        <w:t xml:space="preserve">Subtheme 3.1: The Desire for Acceptance and Empathy</w:t>
      </w:r>
    </w:p>
    <w:p>
      <w:pPr>
        <w:spacing w:after="120"/>
      </w:pPr>
      <w:r>
        <w:rPr>
          <w:highlight w:val="yellow"/>
        </w:rPr>
        <w:t xml:space="preserve">[Insert subtheme narrative and quotations. COREQ item 32.]</w:t>
      </w:r>
    </w:p>
    <w:p>
      <w:pPr>
        <w:pStyle w:val="Heading2"/>
      </w:pPr>
      <w:r>
        <w:t xml:space="preserve">Theme 4: Barriers to Surgical Intervention</w:t>
      </w:r>
    </w:p>
    <w:p>
      <w:pPr>
        <w:spacing w:after="120"/>
      </w:pPr>
      <w:r>
        <w:rPr>
          <w:highlight w:val="yellow"/>
        </w:rPr>
        <w:t xml:space="preserve">[Insert theme narrative with verbatim quotations. Identify each quotation by pseudonym and age, for example (Pseudonym, 16 years). COREQ items 29 to 31.]</w:t>
      </w:r>
    </w:p>
    <w:p>
      <w:pPr>
        <w:pStyle w:val="Heading3"/>
      </w:pPr>
      <w:r>
        <w:t xml:space="preserve">Subtheme 4.1: Lack of Awareness of Referral Pathways</w:t>
      </w:r>
    </w:p>
    <w:p>
      <w:pPr>
        <w:spacing w:after="120"/>
      </w:pPr>
      <w:r>
        <w:rPr>
          <w:highlight w:val="yellow"/>
        </w:rPr>
        <w:t xml:space="preserve">[Insert subtheme narrative and quotations. COREQ item 32.]</w:t>
      </w:r>
    </w:p>
    <w:p>
      <w:pPr>
        <w:pStyle w:val="Heading2"/>
      </w:pPr>
      <w:r>
        <w:t xml:space="preserve">Theme 5: Coping Mechanisms and Future Aspirations</w:t>
      </w:r>
    </w:p>
    <w:p>
      <w:pPr>
        <w:spacing w:after="120"/>
      </w:pPr>
      <w:r>
        <w:rPr>
          <w:highlight w:val="yellow"/>
        </w:rPr>
        <w:t xml:space="preserve">[Insert theme narrative with verbatim quotations. Identify each quotation by pseudonym and age, for example (Pseudonym, 16 years). COREQ items 29 to 31.]</w:t>
      </w:r>
    </w:p>
    <w:p>
      <w:pPr>
        <w:pStyle w:val="Heading3"/>
      </w:pPr>
      <w:r>
        <w:t xml:space="preserve">Subtheme 5.1: Prosocial Aspirations</w:t>
      </w:r>
    </w:p>
    <w:p>
      <w:pPr>
        <w:spacing w:after="120"/>
      </w:pPr>
      <w:r>
        <w:rPr>
          <w:highlight w:val="yellow"/>
        </w:rPr>
        <w:t xml:space="preserve">[Insert subtheme narrative and quotations. COREQ item 32.]</w:t>
      </w:r>
    </w:p>
    <w:p>
      <w:pPr>
        <w:pStyle w:val="Heading1"/>
      </w:pPr>
      <w:r>
        <w:t xml:space="preserve">Discussion</w:t>
      </w:r>
    </w:p>
    <w:p>
      <w:pPr>
        <w:spacing w:after="120"/>
      </w:pPr>
      <w:r>
        <w:rPr>
          <w:highlight w:val="yellow"/>
        </w:rPr>
        <w:t xml:space="preserve">[Insert Discussion: principal findings; comparison with the international literature on unoperated clefts, stigma, and access to care in low- and middle-income and conflict-affected settings; interpretation through the phenomenological lens.]</w:t>
      </w:r>
    </w:p>
    <w:p>
      <w:pPr>
        <w:pStyle w:val="Heading2"/>
      </w:pPr>
      <w:r>
        <w:t xml:space="preserve">Strengths and Limitations</w:t>
      </w:r>
    </w:p>
    <w:p>
      <w:pPr>
        <w:spacing w:after="120"/>
      </w:pPr>
      <w:r>
        <w:rPr>
          <w:highlight w:val="yellow"/>
        </w:rPr>
        <w:t xml:space="preserve">[Insert text: patient-centered, first-person accounts; COREQ-guided rigor; limitations such as the small single-country sample, translation from Arabic, single interviews, the clinical role of the interviewer, and transferability.]</w:t>
      </w:r>
    </w:p>
    <w:p>
      <w:pPr>
        <w:pStyle w:val="Heading2"/>
      </w:pPr>
      <w:r>
        <w:t xml:space="preserve">Implications for Practice, Policy, and Research</w:t>
      </w:r>
    </w:p>
    <w:p>
      <w:pPr>
        <w:spacing w:after="120"/>
      </w:pPr>
      <w:r>
        <w:rPr>
          <w:highlight w:val="yellow"/>
        </w:rPr>
        <w:t xml:space="preserve">[Insert text: decentralized surgical outreach and travel subsidies; late-presenting speech rehabilitation; psychological first aid and school-based anti-bullying measures; culturally sensitive community education engaging local and religious leaders; future research.]</w:t>
      </w:r>
    </w:p>
    <w:p>
      <w:pPr>
        <w:pStyle w:val="Heading1"/>
      </w:pPr>
      <w:r>
        <w:t xml:space="preserve">Conclusions</w:t>
      </w:r>
    </w:p>
    <w:p>
      <w:pPr>
        <w:spacing w:after="120"/>
      </w:pPr>
      <w:r>
        <w:rPr>
          <w:highlight w:val="yellow"/>
        </w:rPr>
        <w:t xml:space="preserve">[Insert 1 paragraph of conclusions.]</w:t>
      </w:r>
    </w:p>
    <w:p>
      <w:pPr>
        <w:pStyle w:val="Heading1"/>
      </w:pPr>
      <w:r>
        <w:t xml:space="preserve">References</w:t>
      </w:r>
    </w:p>
    <w:p>
      <w:pPr>
        <w:spacing w:after="120"/>
      </w:pPr>
      <w:r>
        <w:rPr>
          <w:highlight w:val="yellow"/>
        </w:rPr>
        <w:t xml:space="preserve">[Insert the 24 references in AMA style, numbered in order of first citation in the text. Do not include any self-identifying references in a way that reveals authorship (cite own work in the third person). Two examples in the required format follow; renumber as needed.]</w:t>
      </w:r>
    </w:p>
    <w:p>
      <w:pPr>
        <w:ind w:left="720" w:hanging="720"/>
      </w:pPr>
      <w:r>
        <w:t xml:space="preserve">1. Tong A, Sainsbury P, Craig J. Consolidated criteria for reporting qualitative research (COREQ): a 32-item checklist for interviews and focus groups. </w:t>
      </w:r>
      <w:r>
        <w:rPr>
          <w:i/>
          <w:iCs/>
        </w:rPr>
        <w:t xml:space="preserve">Int J Qual Health Care</w:t>
      </w:r>
      <w:r>
        <w:t xml:space="preserve">. 2007;19(6):349-357. doi:10.1093/intqhc/mzm042</w:t>
      </w:r>
    </w:p>
    <w:p>
      <w:pPr>
        <w:ind w:left="720" w:hanging="720"/>
      </w:pPr>
      <w:r>
        <w:t xml:space="preserve">2. Braun V, Clarke V. Using thematic analysis in psychology. </w:t>
      </w:r>
      <w:r>
        <w:rPr>
          <w:i/>
          <w:iCs/>
        </w:rPr>
        <w:t xml:space="preserve">Qual Res Psychol</w:t>
      </w:r>
      <w:r>
        <w:t xml:space="preserve">. 2006;3(2):77-101. doi:10.1191/1478088706qp063oa</w:t>
      </w:r>
    </w:p>
    <w:p>
      <w:pPr>
        <w:pageBreakBefore/>
        <w:spacing w:after="120"/>
      </w:pPr>
      <w:r>
        <w:rPr>
          <w:b/>
          <w:bCs/>
        </w:rPr>
        <w:t xml:space="preserve">Table 1. </w:t>
      </w:r>
      <w:r>
        <w:t xml:space="preserve">Participant Sociodemographic and Clinical Characteristics (N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560"/>
        <w:gridCol w:w="2300"/>
        <w:gridCol w:w="2200"/>
      </w:tblGrid>
      <w:tr>
        <w:trPr>
          <w:tblHeader/>
        </w:trPr>
        <w:tc>
          <w:tcPr>
            <w:tcW w:type="dxa" w:w="150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Pseudonym</w:t>
            </w:r>
          </w:p>
        </w:tc>
        <w:tc>
          <w:tcPr>
            <w:tcW w:type="dxa" w:w="90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Age (years)</w:t>
            </w:r>
          </w:p>
        </w:tc>
        <w:tc>
          <w:tcPr>
            <w:tcW w:type="dxa" w:w="90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Sex</w:t>
            </w:r>
          </w:p>
        </w:tc>
        <w:tc>
          <w:tcPr>
            <w:tcW w:type="dxa" w:w="156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Residence</w:t>
            </w:r>
          </w:p>
        </w:tc>
        <w:tc>
          <w:tcPr>
            <w:tcW w:type="dxa" w:w="230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Cleft type</w:t>
            </w:r>
          </w:p>
        </w:tc>
        <w:tc>
          <w:tcPr>
            <w:tcW w:type="dxa" w:w="220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Schooling or employment status</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r>
        <w:tc>
          <w:tcPr>
            <w:tcW w:type="dxa" w:w="15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9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15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3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c>
          <w:tcPr>
            <w:tcW w:type="dxa" w:w="22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w:t>
            </w:r>
          </w:p>
        </w:tc>
      </w:tr>
    </w:tbl>
    <w:p>
      <w:pPr>
        <w:spacing w:before="120"/>
      </w:pPr>
      <w:r>
        <w:rPr>
          <w:sz w:val="20"/>
          <w:szCs w:val="20"/>
        </w:rPr>
        <w:t xml:space="preserve">Abbreviations and notes: </w:t>
      </w:r>
      <w:r>
        <w:rPr>
          <w:sz w:val="20"/>
          <w:szCs w:val="20"/>
          <w:highlight w:val="yellow"/>
        </w:rPr>
        <w:t xml:space="preserve">[define abbreviations used in the table, e.g., CL, cleft lip; CP, cleft palate; CLP, cleft lip and palate; UCLP, unilateral cleft lip and palate; BCLP, bilateral cleft lip and palate]</w:t>
      </w:r>
      <w:r>
        <w:rPr>
          <w:sz w:val="20"/>
          <w:szCs w:val="20"/>
        </w:rPr>
        <w:t xml:space="preserve">.</w:t>
      </w:r>
    </w:p>
    <w:p>
      <w:pPr>
        <w:pageBreakBefore/>
        <w:spacing w:after="120"/>
      </w:pPr>
      <w:r>
        <w:rPr>
          <w:b/>
          <w:bCs/>
        </w:rPr>
        <w:t xml:space="preserve">Table 2. </w:t>
      </w:r>
      <w:r>
        <w:t xml:space="preserve">Thematic Synthesis Matrix: Themes, Subthemes, and Illustrative Quotations.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Theme</w:t>
            </w:r>
          </w:p>
        </w:tc>
        <w:tc>
          <w:tcPr>
            <w:tcW w:type="dxa" w:w="260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Subtheme</w:t>
            </w:r>
          </w:p>
        </w:tc>
        <w:tc>
          <w:tcPr>
            <w:tcW w:type="dxa" w:w="4160"/>
            <w:gridSpan w:val="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top"/>
          </w:tcPr>
          <w:p>
            <w:pPr>
              <w:spacing w:after="0" w:line="240"/>
              <w:jc w:val="left"/>
            </w:pPr>
            <w:r>
              <w:rPr>
                <w:b/>
                <w:bCs/>
                <w:i w:val="false"/>
                <w:iCs w:val="false"/>
                <w:sz w:val="20"/>
                <w:szCs w:val="20"/>
              </w:rPr>
              <w:t xml:space="preserve">Illustrative quotation (pseudonym, age)</w:t>
            </w:r>
          </w:p>
        </w:tc>
      </w:tr>
      <w:tr>
        <w:trPr>
          <w:cantSplit/>
        </w:trPr>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1. Personal perceptions and self-image</w:t>
            </w:r>
          </w:p>
        </w:tc>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1.1 Romantic and marital anxieties</w:t>
            </w:r>
          </w:p>
        </w:tc>
        <w:tc>
          <w:tcPr>
            <w:tcW w:type="dxa" w:w="41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[Insert verbatim quotation] (Pseudonym, age)</w:t>
            </w:r>
          </w:p>
        </w:tc>
      </w:tr>
      <w:tr>
        <w:trPr>
          <w:cantSplit/>
        </w:trPr>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2. Social isolation and stigmatization</w:t>
            </w:r>
          </w:p>
        </w:tc>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2.1 Education and employment ("school as a battlefield")</w:t>
            </w:r>
          </w:p>
        </w:tc>
        <w:tc>
          <w:tcPr>
            <w:tcW w:type="dxa" w:w="41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[Insert verbatim quotation] (Pseudonym, age)</w:t>
            </w:r>
          </w:p>
        </w:tc>
      </w:tr>
      <w:tr>
        <w:trPr>
          <w:cantSplit/>
        </w:trPr>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3. Emotional and psychological impact</w:t>
            </w:r>
          </w:p>
        </w:tc>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3.1 Desire for acceptance and empathy</w:t>
            </w:r>
          </w:p>
        </w:tc>
        <w:tc>
          <w:tcPr>
            <w:tcW w:type="dxa" w:w="41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[Insert verbatim quotation] (Pseudonym, age)</w:t>
            </w:r>
          </w:p>
        </w:tc>
      </w:tr>
      <w:tr>
        <w:trPr>
          <w:cantSplit/>
        </w:trPr>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4. Barriers to surgical intervention</w:t>
            </w:r>
          </w:p>
        </w:tc>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4.1 Lack of awareness of referral pathways</w:t>
            </w:r>
          </w:p>
        </w:tc>
        <w:tc>
          <w:tcPr>
            <w:tcW w:type="dxa" w:w="41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[Insert verbatim quotation] (Pseudonym, age)</w:t>
            </w:r>
          </w:p>
        </w:tc>
      </w:tr>
      <w:tr>
        <w:trPr>
          <w:cantSplit/>
        </w:trPr>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5. Coping mechanisms and future aspirations</w:t>
            </w:r>
          </w:p>
        </w:tc>
        <w:tc>
          <w:tcPr>
            <w:tcW w:type="dxa" w:w="260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rPr>
              <w:t xml:space="preserve">5.1 Prosocial aspirations</w:t>
            </w:r>
          </w:p>
        </w:tc>
        <w:tc>
          <w:tcPr>
            <w:tcW w:type="dxa" w:w="4160"/>
            <w:gridSpan w:val="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b w:val="false"/>
                <w:bCs w:val="false"/>
                <w:i w:val="false"/>
                <w:iCs w:val="false"/>
                <w:sz w:val="20"/>
                <w:szCs w:val="20"/>
                <w:highlight w:val="yellow"/>
              </w:rPr>
              <w:t xml:space="preserve">[Insert verbatim quotation] (Pseudonym, age)</w:t>
            </w:r>
          </w:p>
        </w:tc>
      </w:tr>
    </w:tbl>
    <w:p>
      <w:pPr>
        <w:pageBreakBefore/>
      </w:pPr>
      <w:r>
        <w:rPr>
          <w:b/>
          <w:bCs/>
        </w:rPr>
        <w:t xml:space="preserve">Supplementary Material</w:t>
      </w:r>
    </w:p>
    <w:p>
      <w:r>
        <w:t xml:space="preserve">Supplementary Material 1. Semi-Structured Interview Guide (uploaded as a separate file).</w:t>
      </w:r>
    </w:p>
    <w:sectPr>
      <w:headerReference w:type="default" r:id="rId7"/>
      <w:footerReference w:type="default" r:id="rId8"/>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uppressLineNumbers/>
      <w:jc w:val="right"/>
    </w:pPr>
    <w:r>
      <w:rPr>
        <w:sz w:val="20"/>
        <w:szCs w:val="20"/>
      </w:rPr>
      <w:t xml:space="preserve">Lived Experiences of Unoperated Clefts in Yemen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48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80" w:before="20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60" w:before="16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2026-10-24T23:14:52.843Z</dcterms:created>
  <dcterms:modified xsi:type="dcterms:W3CDTF">2026-10-24T23:14:52.843Z</dcterms:modified>
</cp:coreProperties>
</file>

<file path=docProps/custom.xml><?xml version="1.0" encoding="utf-8"?>
<Properties xmlns="http://schemas.openxmlformats.org/officeDocument/2006/custom-properties" xmlns:vt="http://schemas.openxmlformats.org/officeDocument/2006/docPropsVTypes"/>
</file>