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before="1200" w:after="0"/>
        <w:jc w:val="center"/>
      </w:pPr>
      <w:r>
        <w:rPr>
          <w:b/>
          <w:bCs/>
          <w:color w:val="FFFFFF"/>
          <w:sz w:val="52"/>
          <w:szCs w:val="52"/>
        </w:rPr>
        <w:t xml:space="preserve">DEEPBOOK HEDGING BOT</w:t>
      </w:r>
    </w:p>
    <w:p>
      <w:pPr>
        <w:shd w:fill="1B3A6B" w:val="clear"/>
        <w:spacing w:before="80" w:after="0"/>
        <w:jc w:val="center"/>
      </w:pPr>
      <w:r>
        <w:rPr>
          <w:color w:val="DBEAFE"/>
          <w:sz w:val="28"/>
          <w:szCs w:val="28"/>
        </w:rPr>
        <w:t xml:space="preserve">Roadmap vers le déploiement en production autonome</w:t>
      </w:r>
    </w:p>
    <w:p>
      <w:pPr>
        <w:shd w:fill="1B3A6B" w:val="clear"/>
        <w:spacing w:before="40" w:after="1400"/>
        <w:jc w:val="center"/>
      </w:pPr>
      <w:r>
        <w:rPr>
          <w:color w:val="E2E8F0"/>
          <w:sz w:val="22"/>
          <w:szCs w:val="22"/>
        </w:rPr>
        <w:t xml:space="preserve">Mainnet — Guide opérationnel complet</w:t>
      </w:r>
    </w:p>
    <w:p>
      <w:pPr>
        <w:spacing w:before="0" w:after="0"/>
      </w:pPr>
      <w:r>
        <w:t xml:space="preserve"/>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563EB" w:val="clear"/>
          </w:tcPr>
          <w:p>
            <w:r>
              <w:t xml:space="preserve"/>
            </w:r>
          </w:p>
        </w:tc>
        <w:tc>
          <w:tcPr>
            <w:tcW w:type="dxa" w:w="9000"/>
            <w:tcBorders>
              <w:top w:val="none" w:color="FFFFFF" w:sz="0"/>
              <w:left w:val="single" w:color="2563EB" w:sz="12"/>
              <w:bottom w:val="none" w:color="FFFFFF" w:sz="0"/>
              <w:right w:val="none" w:color="FFFFFF" w:sz="0"/>
            </w:tcBorders>
            <w:shd w:fill="FEF3C7" w:val="clear"/>
            <w:tcMar>
              <w:top w:type="dxa" w:w="100"/>
              <w:left w:type="dxa" w:w="200"/>
              <w:bottom w:type="dxa" w:w="100"/>
              <w:right w:type="dxa" w:w="200"/>
            </w:tcMar>
          </w:tcPr>
          <w:p>
            <w:r>
              <w:rPr>
                <w:b/>
                <w:bCs/>
                <w:color w:val="B45309"/>
                <w:sz w:val="22"/>
                <w:szCs w:val="22"/>
              </w:rPr>
              <w:t xml:space="preserve">⚠️  Avertissement important</w:t>
            </w:r>
          </w:p>
          <w:p>
            <w:pPr>
              <w:spacing w:before="40" w:after="0"/>
            </w:pPr>
            <w:r>
              <w:rPr>
                <w:color w:val="475569"/>
                <w:sz w:val="20"/>
                <w:szCs w:val="20"/>
              </w:rPr>
              <w:t xml:space="preserve">Ce document décrit les étapes à suivre AVANT tout déploiement sur le mainnet Sui avec des fonds réels. Respecter l'ordre des phases est critique. Sauter une étape peut entraîner des pertes financières irréversibles.</w:t>
            </w:r>
          </w:p>
        </w:tc>
      </w:tr>
    </w:tbl>
    <w:p>
      <w:pPr>
        <w:spacing w:before="0" w:after="0"/>
      </w:pPr>
      <w:r>
        <w:t xml:space="preserve"/>
      </w:r>
    </w:p>
    <w:p>
      <w:pPr>
        <w:pStyle w:val="Heading1"/>
        <w:spacing w:before="320" w:after="120"/>
      </w:pPr>
      <w:r>
        <w:rPr>
          <w:b/>
          <w:bCs/>
          <w:color w:val="1B3A6B"/>
        </w:rPr>
        <w:t xml:space="preserve">Introduction</w:t>
      </w:r>
    </w:p>
    <w:p>
      <w:pPr>
        <w:spacing w:before="60" w:after="60"/>
      </w:pPr>
      <w:r>
        <w:rPr>
          <w:color w:val="475569"/>
          <w:sz w:val="22"/>
          <w:szCs w:val="22"/>
        </w:rPr>
        <w:t xml:space="preserve">Le bot se trouve actuellement dans un état fonctionnel mais non validé pour la production autonome. L'architecture est solide, les modules de sécurité (keystore chiffré, dryRun, circuit breaker, fermeture d'urgence) sont en place. Ce qui reste à faire est la validation du comportement réel sur le réseau Sui, le hardening technique, et la mise en place de l'infrastructure de production.</w:t>
      </w:r>
    </w:p>
    <w:p>
      <w:pPr>
        <w:spacing w:before="0" w:after="0"/>
      </w:pPr>
      <w:r>
        <w:t xml:space="preserve"/>
      </w:r>
    </w:p>
    <w:p>
      <w:pPr>
        <w:spacing w:before="60" w:after="60"/>
      </w:pPr>
      <w:r>
        <w:rPr>
          <w:color w:val="475569"/>
          <w:sz w:val="22"/>
          <w:szCs w:val="22"/>
        </w:rPr>
        <w:t xml:space="preserve">La durée totale réaliste est de 6 à 11 semaines en faisant les choses sérieusement. La tentation de compresser les phases 2 et 3 est forte — c'est précisément là où la majorité des bots perdent de l'argent lors de leur premier déploiement.</w:t>
      </w:r>
    </w:p>
    <w:p>
      <w:pPr>
        <w:spacing w:before="0" w:after="0"/>
      </w:pPr>
      <w:r>
        <w:t xml:space="preserve"/>
      </w:r>
    </w:p>
    <w:p>
      <w:pPr>
        <w:spacing w:before="0" w:after="0"/>
      </w:pPr>
      <w:r>
        <w:t xml:space="preserve"/>
      </w:r>
    </w:p>
    <w:p>
      <w:pPr>
        <w:pStyle w:val="Heading1"/>
        <w:spacing w:before="320" w:after="120"/>
      </w:pPr>
      <w:r>
        <w:rPr>
          <w:b/>
          <w:bCs/>
          <w:color w:val="1B3A6B"/>
        </w:rPr>
        <w:t xml:space="preserve">Récapitulatif des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pPr>
              <w:jc w:val="center"/>
            </w:pPr>
            <w:r>
              <w:rPr>
                <w:b/>
                <w:bCs/>
                <w:color w:val="FFFFFF"/>
                <w:sz w:val="20"/>
                <w:szCs w:val="20"/>
              </w:rPr>
              <w:t xml:space="preserve">Phase</w:t>
            </w:r>
          </w:p>
        </w:tc>
        <w:tc>
          <w:tcPr>
            <w:tcW w:type="dxa" w:w="258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pPr>
              <w:jc w:val="center"/>
            </w:pPr>
            <w:r>
              <w:rPr>
                <w:b/>
                <w:bCs/>
                <w:color w:val="FFFFFF"/>
                <w:sz w:val="20"/>
                <w:szCs w:val="20"/>
              </w:rPr>
              <w:t xml:space="preserve">Durée estimée</w:t>
            </w:r>
          </w:p>
        </w:tc>
        <w:tc>
          <w:tcPr>
            <w:tcW w:type="dxa" w:w="258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pPr>
              <w:jc w:val="center"/>
            </w:pPr>
            <w:r>
              <w:rPr>
                <w:b/>
                <w:bCs/>
                <w:color w:val="FFFFFF"/>
                <w:sz w:val="20"/>
                <w:szCs w:val="20"/>
              </w:rPr>
              <w:t xml:space="preserve">Bloquant mainnet ?</w:t>
            </w:r>
          </w:p>
        </w:tc>
      </w:tr>
      <w:tr>
        <w:tc>
          <w:tcPr>
            <w:tcW w:type="dxa" w:w="4200"/>
            <w:tcBorders>
              <w:top w:val="single" w:color="D1D5DB" w:sz="1"/>
              <w:left w:val="single" w:color="D1D5DB" w:sz="1"/>
              <w:bottom w:val="single" w:color="D1D5DB" w:sz="1"/>
              <w:right w:val="single" w:color="D1D5DB" w:sz="1"/>
            </w:tcBorders>
            <w:shd w:fill="F1F5F9" w:val="clear"/>
            <w:tcMar>
              <w:top w:type="dxa" w:w="80"/>
              <w:left w:type="dxa" w:w="150"/>
              <w:bottom w:type="dxa" w:w="80"/>
              <w:right w:type="dxa" w:w="150"/>
            </w:tcMar>
          </w:tcPr>
          <w:p>
            <w:pPr>
              <w:jc w:val="center"/>
            </w:pPr>
            <w:r>
              <w:rPr>
                <w:b/>
                <w:bCs/>
                <w:color w:val="1B3A6B"/>
                <w:sz w:val="20"/>
                <w:szCs w:val="20"/>
              </w:rPr>
              <w:t xml:space="preserve">Phase 1 — Validation du code</w:t>
            </w:r>
          </w:p>
        </w:tc>
        <w:tc>
          <w:tcPr>
            <w:tcW w:type="dxa" w:w="2580"/>
            <w:tcBorders>
              <w:top w:val="single" w:color="D1D5DB" w:sz="1"/>
              <w:left w:val="single" w:color="D1D5DB" w:sz="1"/>
              <w:bottom w:val="single" w:color="D1D5DB" w:sz="1"/>
              <w:right w:val="single" w:color="D1D5DB" w:sz="1"/>
            </w:tcBorders>
            <w:shd w:fill="F1F5F9" w:val="clear"/>
            <w:tcMar>
              <w:top w:type="dxa" w:w="80"/>
              <w:left w:type="dxa" w:w="150"/>
              <w:bottom w:type="dxa" w:w="80"/>
              <w:right w:type="dxa" w:w="150"/>
            </w:tcMar>
          </w:tcPr>
          <w:p>
            <w:pPr>
              <w:jc w:val="center"/>
            </w:pPr>
            <w:r>
              <w:rPr>
                <w:b w:val="false"/>
                <w:bCs w:val="false"/>
                <w:color w:val="475569"/>
                <w:sz w:val="20"/>
                <w:szCs w:val="20"/>
              </w:rPr>
              <w:t xml:space="preserve">1–2 semaines</w:t>
            </w:r>
          </w:p>
        </w:tc>
        <w:tc>
          <w:tcPr>
            <w:tcW w:type="dxa" w:w="2580"/>
            <w:tcBorders>
              <w:top w:val="single" w:color="D1D5DB" w:sz="1"/>
              <w:left w:val="single" w:color="D1D5DB" w:sz="1"/>
              <w:bottom w:val="single" w:color="D1D5DB" w:sz="1"/>
              <w:right w:val="single" w:color="D1D5DB" w:sz="1"/>
            </w:tcBorders>
            <w:shd w:fill="F1F5F9" w:val="clear"/>
            <w:tcMar>
              <w:top w:type="dxa" w:w="80"/>
              <w:left w:type="dxa" w:w="150"/>
              <w:bottom w:type="dxa" w:w="80"/>
              <w:right w:type="dxa" w:w="150"/>
            </w:tcMar>
          </w:tcPr>
          <w:p>
            <w:pPr>
              <w:jc w:val="center"/>
            </w:pPr>
            <w:r>
              <w:rPr>
                <w:b/>
                <w:bCs/>
                <w:color w:val="15803D"/>
                <w:sz w:val="20"/>
                <w:szCs w:val="20"/>
              </w:rPr>
              <w:t xml:space="preserve">✅ Oui</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b/>
                <w:bCs/>
                <w:color w:val="1B3A6B"/>
                <w:sz w:val="20"/>
                <w:szCs w:val="20"/>
              </w:rPr>
              <w:t xml:space="preserve">Phase 2 — Testnet continu</w:t>
            </w:r>
          </w:p>
        </w:tc>
        <w:tc>
          <w:tcPr>
            <w:tcW w:type="dxa" w:w="258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b w:val="false"/>
                <w:bCs w:val="false"/>
                <w:color w:val="475569"/>
                <w:sz w:val="20"/>
                <w:szCs w:val="20"/>
              </w:rPr>
              <w:t xml:space="preserve">2–4 semaines</w:t>
            </w:r>
          </w:p>
        </w:tc>
        <w:tc>
          <w:tcPr>
            <w:tcW w:type="dxa" w:w="258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b/>
                <w:bCs/>
                <w:color w:val="15803D"/>
                <w:sz w:val="20"/>
                <w:szCs w:val="20"/>
              </w:rPr>
              <w:t xml:space="preserve">✅ Oui</w:t>
            </w:r>
          </w:p>
        </w:tc>
      </w:tr>
      <w:tr>
        <w:tc>
          <w:tcPr>
            <w:tcW w:type="dxa" w:w="4200"/>
            <w:tcBorders>
              <w:top w:val="single" w:color="D1D5DB" w:sz="1"/>
              <w:left w:val="single" w:color="D1D5DB" w:sz="1"/>
              <w:bottom w:val="single" w:color="D1D5DB" w:sz="1"/>
              <w:right w:val="single" w:color="D1D5DB" w:sz="1"/>
            </w:tcBorders>
            <w:shd w:fill="F1F5F9" w:val="clear"/>
            <w:tcMar>
              <w:top w:type="dxa" w:w="80"/>
              <w:left w:type="dxa" w:w="150"/>
              <w:bottom w:type="dxa" w:w="80"/>
              <w:right w:type="dxa" w:w="150"/>
            </w:tcMar>
          </w:tcPr>
          <w:p>
            <w:pPr>
              <w:jc w:val="center"/>
            </w:pPr>
            <w:r>
              <w:rPr>
                <w:b/>
                <w:bCs/>
                <w:color w:val="1B3A6B"/>
                <w:sz w:val="20"/>
                <w:szCs w:val="20"/>
              </w:rPr>
              <w:t xml:space="preserve">Phase 3 — Hardening technique</w:t>
            </w:r>
          </w:p>
        </w:tc>
        <w:tc>
          <w:tcPr>
            <w:tcW w:type="dxa" w:w="2580"/>
            <w:tcBorders>
              <w:top w:val="single" w:color="D1D5DB" w:sz="1"/>
              <w:left w:val="single" w:color="D1D5DB" w:sz="1"/>
              <w:bottom w:val="single" w:color="D1D5DB" w:sz="1"/>
              <w:right w:val="single" w:color="D1D5DB" w:sz="1"/>
            </w:tcBorders>
            <w:shd w:fill="F1F5F9" w:val="clear"/>
            <w:tcMar>
              <w:top w:type="dxa" w:w="80"/>
              <w:left w:type="dxa" w:w="150"/>
              <w:bottom w:type="dxa" w:w="80"/>
              <w:right w:type="dxa" w:w="150"/>
            </w:tcMar>
          </w:tcPr>
          <w:p>
            <w:pPr>
              <w:jc w:val="center"/>
            </w:pPr>
            <w:r>
              <w:rPr>
                <w:b w:val="false"/>
                <w:bCs w:val="false"/>
                <w:color w:val="475569"/>
                <w:sz w:val="20"/>
                <w:szCs w:val="20"/>
              </w:rPr>
              <w:t xml:space="preserve">1–2 semaines</w:t>
            </w:r>
          </w:p>
        </w:tc>
        <w:tc>
          <w:tcPr>
            <w:tcW w:type="dxa" w:w="2580"/>
            <w:tcBorders>
              <w:top w:val="single" w:color="D1D5DB" w:sz="1"/>
              <w:left w:val="single" w:color="D1D5DB" w:sz="1"/>
              <w:bottom w:val="single" w:color="D1D5DB" w:sz="1"/>
              <w:right w:val="single" w:color="D1D5DB" w:sz="1"/>
            </w:tcBorders>
            <w:shd w:fill="F1F5F9" w:val="clear"/>
            <w:tcMar>
              <w:top w:type="dxa" w:w="80"/>
              <w:left w:type="dxa" w:w="150"/>
              <w:bottom w:type="dxa" w:w="80"/>
              <w:right w:type="dxa" w:w="150"/>
            </w:tcMar>
          </w:tcPr>
          <w:p>
            <w:pPr>
              <w:jc w:val="center"/>
            </w:pPr>
            <w:r>
              <w:rPr>
                <w:b/>
                <w:bCs/>
                <w:color w:val="15803D"/>
                <w:sz w:val="20"/>
                <w:szCs w:val="20"/>
              </w:rPr>
              <w:t xml:space="preserve">✅ Oui</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b/>
                <w:bCs/>
                <w:color w:val="1B3A6B"/>
                <w:sz w:val="20"/>
                <w:szCs w:val="20"/>
              </w:rPr>
              <w:t xml:space="preserve">Phase 4 — Infrastructure</w:t>
            </w:r>
          </w:p>
        </w:tc>
        <w:tc>
          <w:tcPr>
            <w:tcW w:type="dxa" w:w="258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b w:val="false"/>
                <w:bCs w:val="false"/>
                <w:color w:val="475569"/>
                <w:sz w:val="20"/>
                <w:szCs w:val="20"/>
              </w:rPr>
              <w:t xml:space="preserve">1 semaine</w:t>
            </w:r>
          </w:p>
        </w:tc>
        <w:tc>
          <w:tcPr>
            <w:tcW w:type="dxa" w:w="258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jc w:val="center"/>
            </w:pPr>
            <w:r>
              <w:rPr>
                <w:b/>
                <w:bCs/>
                <w:color w:val="15803D"/>
                <w:sz w:val="20"/>
                <w:szCs w:val="20"/>
              </w:rPr>
              <w:t xml:space="preserve">✅ Oui</w:t>
            </w:r>
          </w:p>
        </w:tc>
      </w:tr>
      <w:tr>
        <w:tc>
          <w:tcPr>
            <w:tcW w:type="dxa" w:w="4200"/>
            <w:tcBorders>
              <w:top w:val="single" w:color="D1D5DB" w:sz="1"/>
              <w:left w:val="single" w:color="D1D5DB" w:sz="1"/>
              <w:bottom w:val="single" w:color="D1D5DB" w:sz="1"/>
              <w:right w:val="single" w:color="D1D5DB" w:sz="1"/>
            </w:tcBorders>
            <w:shd w:fill="F1F5F9" w:val="clear"/>
            <w:tcMar>
              <w:top w:type="dxa" w:w="80"/>
              <w:left w:type="dxa" w:w="150"/>
              <w:bottom w:type="dxa" w:w="80"/>
              <w:right w:type="dxa" w:w="150"/>
            </w:tcMar>
          </w:tcPr>
          <w:p>
            <w:pPr>
              <w:jc w:val="center"/>
            </w:pPr>
            <w:r>
              <w:rPr>
                <w:b/>
                <w:bCs/>
                <w:color w:val="1B3A6B"/>
                <w:sz w:val="20"/>
                <w:szCs w:val="20"/>
              </w:rPr>
              <w:t xml:space="preserve">Phase 5 — Go/No-Go mainnet</w:t>
            </w:r>
          </w:p>
        </w:tc>
        <w:tc>
          <w:tcPr>
            <w:tcW w:type="dxa" w:w="2580"/>
            <w:tcBorders>
              <w:top w:val="single" w:color="D1D5DB" w:sz="1"/>
              <w:left w:val="single" w:color="D1D5DB" w:sz="1"/>
              <w:bottom w:val="single" w:color="D1D5DB" w:sz="1"/>
              <w:right w:val="single" w:color="D1D5DB" w:sz="1"/>
            </w:tcBorders>
            <w:shd w:fill="F1F5F9" w:val="clear"/>
            <w:tcMar>
              <w:top w:type="dxa" w:w="80"/>
              <w:left w:type="dxa" w:w="150"/>
              <w:bottom w:type="dxa" w:w="80"/>
              <w:right w:type="dxa" w:w="150"/>
            </w:tcMar>
          </w:tcPr>
          <w:p>
            <w:pPr>
              <w:jc w:val="center"/>
            </w:pPr>
            <w:r>
              <w:rPr>
                <w:b w:val="false"/>
                <w:bCs w:val="false"/>
                <w:color w:val="475569"/>
                <w:sz w:val="20"/>
                <w:szCs w:val="20"/>
              </w:rPr>
              <w:t xml:space="preserve">1–2 semaines</w:t>
            </w:r>
          </w:p>
        </w:tc>
        <w:tc>
          <w:tcPr>
            <w:tcW w:type="dxa" w:w="2580"/>
            <w:tcBorders>
              <w:top w:val="single" w:color="D1D5DB" w:sz="1"/>
              <w:left w:val="single" w:color="D1D5DB" w:sz="1"/>
              <w:bottom w:val="single" w:color="D1D5DB" w:sz="1"/>
              <w:right w:val="single" w:color="D1D5DB" w:sz="1"/>
            </w:tcBorders>
            <w:shd w:fill="F1F5F9" w:val="clear"/>
            <w:tcMar>
              <w:top w:type="dxa" w:w="80"/>
              <w:left w:type="dxa" w:w="150"/>
              <w:bottom w:type="dxa" w:w="80"/>
              <w:right w:type="dxa" w:w="150"/>
            </w:tcMar>
          </w:tcPr>
          <w:p>
            <w:pPr>
              <w:jc w:val="center"/>
            </w:pPr>
            <w:r>
              <w:rPr>
                <w:b/>
                <w:bCs/>
                <w:color w:val="15803D"/>
                <w:sz w:val="20"/>
                <w:szCs w:val="20"/>
              </w:rPr>
              <w:t xml:space="preserve">✅ Oui</w:t>
            </w:r>
          </w:p>
        </w:tc>
      </w:tr>
      <w:tr>
        <w:tc>
          <w:tcPr>
            <w:tcW w:type="dxa" w:w="4200"/>
            <w:tcBorders>
              <w:top w:val="single" w:color="D1D5DB" w:sz="1"/>
              <w:left w:val="single" w:color="D1D5DB" w:sz="1"/>
              <w:bottom w:val="single" w:color="D1D5DB" w:sz="1"/>
              <w:right w:val="single" w:color="D1D5DB" w:sz="1"/>
            </w:tcBorders>
            <w:shd w:fill="DBEAFE" w:val="clear"/>
            <w:tcMar>
              <w:top w:type="dxa" w:w="80"/>
              <w:left w:type="dxa" w:w="150"/>
              <w:bottom w:type="dxa" w:w="80"/>
              <w:right w:type="dxa" w:w="150"/>
            </w:tcMar>
          </w:tcPr>
          <w:p>
            <w:pPr>
              <w:jc w:val="center"/>
            </w:pPr>
            <w:r>
              <w:rPr>
                <w:b/>
                <w:bCs/>
                <w:color w:val="1B3A6B"/>
                <w:sz w:val="20"/>
                <w:szCs w:val="20"/>
              </w:rPr>
              <w:t xml:space="preserve">⏱ Durée totale estimée</w:t>
            </w:r>
          </w:p>
        </w:tc>
        <w:tc>
          <w:tcPr>
            <w:tcW w:type="dxa" w:w="5160"/>
            <w:tcBorders>
              <w:top w:val="single" w:color="D1D5DB" w:sz="1"/>
              <w:left w:val="single" w:color="D1D5DB" w:sz="1"/>
              <w:bottom w:val="single" w:color="D1D5DB" w:sz="1"/>
              <w:right w:val="single" w:color="D1D5DB" w:sz="1"/>
            </w:tcBorders>
            <w:shd w:fill="DBEAFE" w:val="clear"/>
            <w:tcMar>
              <w:top w:type="dxa" w:w="80"/>
              <w:left w:type="dxa" w:w="150"/>
              <w:bottom w:type="dxa" w:w="80"/>
              <w:right w:type="dxa" w:w="150"/>
            </w:tcMar>
          </w:tcPr>
          <w:p>
            <w:pPr>
              <w:jc w:val="center"/>
            </w:pPr>
            <w:r>
              <w:rPr>
                <w:b/>
                <w:bCs/>
                <w:color w:val="1B3A6B"/>
                <w:sz w:val="20"/>
                <w:szCs w:val="20"/>
              </w:rPr>
              <w:t xml:space="preserve">6 à 11 semaines</w:t>
            </w:r>
          </w:p>
        </w:tc>
      </w:tr>
    </w:tbl>
    <w:p>
      <w:pPr>
        <w:spacing w:before="0" w:after="0"/>
      </w:pPr>
      <w:r>
        <w:t xml:space="preserve"/>
      </w:r>
    </w:p>
    <w:p>
      <w:pPr>
        <w:spacing w:before="0" w:after="0"/>
      </w:pPr>
      <w:r>
        <w:t xml:space="preserve"/>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6840"/>
        <w:gridCol w:w="1800"/>
      </w:tblGrid>
      <w:tr>
        <w:tc>
          <w:tcPr>
            <w:tcW w:type="dxa" w:w="720"/>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vAlign w:val="center"/>
          </w:tcPr>
          <w:p>
            <w:pPr>
              <w:jc w:val="center"/>
            </w:pPr>
            <w:r>
              <w:rPr>
                <w:b/>
                <w:bCs/>
                <w:color w:val="FFFFFF"/>
                <w:sz w:val="28"/>
                <w:szCs w:val="28"/>
              </w:rPr>
              <w:t xml:space="preserve">1</w:t>
            </w:r>
          </w:p>
        </w:tc>
        <w:tc>
          <w:tcPr>
            <w:tcW w:type="dxa" w:w="6840"/>
            <w:tcBorders>
              <w:top w:val="none" w:color="FFFFFF" w:sz="0"/>
              <w:left w:val="none" w:color="FFFFFF" w:sz="0"/>
              <w:bottom w:val="none" w:color="FFFFFF" w:sz="0"/>
              <w:right w:val="none" w:color="FFFFFF" w:sz="0"/>
            </w:tcBorders>
            <w:shd w:fill="1B3A6B" w:val="clear"/>
            <w:tcMar>
              <w:top w:type="dxa" w:w="80"/>
              <w:left w:type="dxa" w:w="200"/>
              <w:bottom w:type="dxa" w:w="80"/>
              <w:right w:type="dxa" w:w="100"/>
            </w:tcMar>
          </w:tcPr>
          <w:p>
            <w:r>
              <w:rPr>
                <w:b/>
                <w:bCs/>
                <w:color w:val="FFFFFF"/>
                <w:sz w:val="26"/>
                <w:szCs w:val="26"/>
              </w:rPr>
              <w:t xml:space="preserve">Validation du code</w:t>
            </w:r>
          </w:p>
        </w:tc>
        <w:tc>
          <w:tcPr>
            <w:tcW w:type="dxa" w:w="1800"/>
            <w:tcBorders>
              <w:top w:val="none" w:color="FFFFFF" w:sz="0"/>
              <w:left w:val="none" w:color="FFFFFF" w:sz="0"/>
              <w:bottom w:val="none" w:color="FFFFFF" w:sz="0"/>
              <w:right w:val="none" w:color="FFFFFF" w:sz="0"/>
            </w:tcBorders>
            <w:shd w:fill="1B3A6B" w:val="clear"/>
            <w:tcMar>
              <w:top w:type="dxa" w:w="80"/>
              <w:left w:type="dxa" w:w="100"/>
              <w:bottom w:type="dxa" w:w="80"/>
              <w:right w:type="dxa" w:w="120"/>
            </w:tcMar>
          </w:tcPr>
          <w:p>
            <w:pPr>
              <w:jc w:val="right"/>
            </w:pPr>
            <w:r>
              <w:rPr>
                <w:color w:val="FFFFFF"/>
                <w:sz w:val="20"/>
                <w:szCs w:val="20"/>
              </w:rPr>
              <w:t xml:space="preserve">1–2 semaines</w:t>
            </w:r>
          </w:p>
        </w:tc>
      </w:tr>
    </w:tbl>
    <w:p>
      <w:pPr>
        <w:spacing w:before="0" w:after="0"/>
      </w:pPr>
      <w:r>
        <w:t xml:space="preserve"/>
      </w:r>
    </w:p>
    <w:p>
      <w:pPr>
        <w:spacing w:before="60" w:after="60"/>
      </w:pPr>
      <w:r>
        <w:rPr>
          <w:color w:val="475569"/>
          <w:sz w:val="22"/>
          <w:szCs w:val="22"/>
        </w:rPr>
        <w:t xml:space="preserve">Avant toute exécution réseau, vérifier que chaque composant fait ce qu'il prétend faire. Cette phase se fait entièrement en lecture de code, de documentation SDK, et avec des tests unitaires supplémentaires.</w:t>
      </w:r>
    </w:p>
    <w:p>
      <w:pPr>
        <w:spacing w:before="0" w:after="0"/>
      </w:pPr>
      <w:r>
        <w:t xml:space="preserve"/>
      </w:r>
    </w:p>
    <w:p>
      <w:pPr>
        <w:pStyle w:val="Heading2"/>
        <w:spacing w:before="320" w:after="120"/>
      </w:pPr>
      <w:r>
        <w:rPr>
          <w:b/>
          <w:bCs/>
          <w:color w:val="1B3A6B"/>
        </w:rPr>
        <w:t xml:space="preserve">1.1  Audit du calcul du delta</w:t>
      </w:r>
    </w:p>
    <w:p>
      <w:pPr>
        <w:spacing w:before="60" w:after="60"/>
      </w:pPr>
      <w:r>
        <w:rPr>
          <w:color w:val="475569"/>
          <w:sz w:val="22"/>
          <w:szCs w:val="22"/>
        </w:rPr>
        <w:t xml:space="preserve">C'est le point le plus critique du bot. Un delta erroné, même de 5%, provoque des hedges dans le mauvais sens — ce qui aggrave le risque au lieu de le neutraliser.</w:t>
      </w:r>
    </w:p>
    <w:p>
      <w:pPr>
        <w:pStyle w:val="ListParagraph"/>
        <w:numPr>
          <w:ilvl w:val="0"/>
          <w:numId w:val="2"/>
        </w:numPr>
        <w:spacing w:before="40" w:after="40"/>
      </w:pPr>
      <w:r>
        <w:rPr>
          <w:color w:val="475569"/>
          <w:sz w:val="22"/>
          <w:szCs w:val="22"/>
        </w:rPr>
        <w:t xml:space="preserve">Comparer les valeurs retournées par l'indexer GraphQL avec les données on-chain via le SDK sur des positions réelles de testnet.</w:t>
      </w:r>
    </w:p>
    <w:p>
      <w:pPr>
        <w:pStyle w:val="ListParagraph"/>
        <w:numPr>
          <w:ilvl w:val="0"/>
          <w:numId w:val="2"/>
        </w:numPr>
        <w:spacing w:before="40" w:after="40"/>
      </w:pPr>
      <w:r>
        <w:rPr>
          <w:b/>
          <w:bCs/>
          <w:color w:val="1B3A6B"/>
          <w:sz w:val="22"/>
          <w:szCs w:val="22"/>
        </w:rPr>
        <w:t xml:space="preserve">position.base_quantity </w:t>
      </w:r>
      <w:r>
        <w:rPr>
          <w:color w:val="475569"/>
          <w:sz w:val="22"/>
          <w:szCs w:val="22"/>
        </w:rPr>
        <w:t xml:space="preserve">Vérifier que le champ </w:t>
      </w:r>
    </w:p>
    <w:p>
      <w:pPr>
        <w:spacing w:before="60" w:after="60"/>
      </w:pPr>
      <w:r>
        <w:rPr>
          <w:i/>
          <w:iCs/>
          <w:color w:val="475569"/>
          <w:sz w:val="22"/>
          <w:szCs w:val="22"/>
        </w:rPr>
        <w:t xml:space="preserve">est bien le delta brut en nanoSUI (1e9), et non la valeur totale de la position.</w:t>
      </w:r>
    </w:p>
    <w:p>
      <w:pPr>
        <w:pStyle w:val="ListParagraph"/>
        <w:numPr>
          <w:ilvl w:val="0"/>
          <w:numId w:val="2"/>
        </w:numPr>
        <w:spacing w:before="40" w:after="40"/>
      </w:pPr>
      <w:r>
        <w:rPr>
          <w:color w:val="475569"/>
          <w:sz w:val="22"/>
          <w:szCs w:val="22"/>
        </w:rPr>
        <w:t xml:space="preserve">Tester avec des positions partiellement remplies, des ordres annulés, et des positions à zéro pour couvrir tous les cas limites.</w:t>
      </w:r>
    </w:p>
    <w:p>
      <w:pPr>
        <w:pStyle w:val="ListParagraph"/>
        <w:numPr>
          <w:ilvl w:val="0"/>
          <w:numId w:val="2"/>
        </w:numPr>
        <w:spacing w:before="40" w:after="40"/>
      </w:pPr>
      <w:r>
        <w:rPr>
          <w:color w:val="475569"/>
          <w:sz w:val="22"/>
          <w:szCs w:val="22"/>
        </w:rPr>
        <w:t xml:space="preserve">Documenter la formule exacte utilisée et la valider avec un calcul manuel sur au moins 5 scénarios réels.</w:t>
      </w:r>
    </w:p>
    <w:p>
      <w:pPr>
        <w:spacing w:before="0" w:after="0"/>
      </w:pPr>
      <w:r>
        <w:t xml:space="preserve"/>
      </w:r>
    </w:p>
    <w:p>
      <w:pPr>
        <w:pStyle w:val="Heading2"/>
        <w:spacing w:before="320" w:after="120"/>
      </w:pPr>
      <w:r>
        <w:rPr>
          <w:b/>
          <w:bCs/>
          <w:color w:val="1B3A6B"/>
        </w:rPr>
        <w:t xml:space="preserve">1.2  Validation du schéma GraphQL de l'indexer</w:t>
      </w:r>
    </w:p>
    <w:p>
      <w:pPr>
        <w:spacing w:before="60" w:after="60"/>
      </w:pPr>
      <w:r>
        <w:rPr>
          <w:color w:val="475569"/>
          <w:sz w:val="22"/>
          <w:szCs w:val="22"/>
        </w:rPr>
        <w:t xml:space="preserve">L'indexer Mysten Labs peut évoluer sans préavis. Il faut se protéger contre un changement silencieux de schéma.</w:t>
      </w:r>
    </w:p>
    <w:p>
      <w:pPr>
        <w:pStyle w:val="ListParagraph"/>
        <w:numPr>
          <w:ilvl w:val="0"/>
          <w:numId w:val="2"/>
        </w:numPr>
        <w:spacing w:before="40" w:after="40"/>
      </w:pPr>
      <w:r>
        <w:rPr>
          <w:color w:val="475569"/>
          <w:sz w:val="22"/>
          <w:szCs w:val="22"/>
        </w:rPr>
        <w:t xml:space="preserve">Confirmer dans la documentation officielle que le schéma GraphQL utilisé est stable et versionné.</w:t>
      </w:r>
    </w:p>
    <w:p>
      <w:pPr>
        <w:pStyle w:val="ListParagraph"/>
        <w:numPr>
          <w:ilvl w:val="0"/>
          <w:numId w:val="2"/>
        </w:numPr>
        <w:spacing w:before="40" w:after="40"/>
      </w:pPr>
      <w:r>
        <w:rPr>
          <w:color w:val="475569"/>
          <w:sz w:val="22"/>
          <w:szCs w:val="22"/>
        </w:rPr>
        <w:t xml:space="preserve">Ajouter une assertion au démarrage du bot qui vérifie que les champs attendus existent dans la réponse de l'indexer.</w:t>
      </w:r>
    </w:p>
    <w:p>
      <w:pPr>
        <w:pStyle w:val="ListParagraph"/>
        <w:numPr>
          <w:ilvl w:val="0"/>
          <w:numId w:val="2"/>
        </w:numPr>
        <w:spacing w:before="40" w:after="40"/>
      </w:pPr>
      <w:r>
        <w:rPr>
          <w:color w:val="475569"/>
          <w:sz w:val="22"/>
          <w:szCs w:val="22"/>
        </w:rPr>
        <w:t xml:space="preserve">Mettre en place une alerte spécifique si l'indexer retourne systématiquement 0 sur toutes les positions — signe possible d'un changement de schéma.</w:t>
      </w:r>
    </w:p>
    <w:p>
      <w:pPr>
        <w:spacing w:before="0" w:after="0"/>
      </w:pPr>
      <w:r>
        <w:t xml:space="preserve"/>
      </w:r>
    </w:p>
    <w:p>
      <w:pPr>
        <w:pStyle w:val="Heading2"/>
        <w:spacing w:before="320" w:after="120"/>
      </w:pPr>
      <w:r>
        <w:rPr>
          <w:b/>
          <w:bCs/>
          <w:color w:val="1B3A6B"/>
        </w:rPr>
        <w:t xml:space="preserve">1.3  Test de la fermeture d'urgence</w:t>
      </w:r>
    </w:p>
    <w:p>
      <w:pPr>
        <w:spacing w:before="60" w:after="60"/>
      </w:pPr>
      <w:r>
        <w:rPr>
          <w:color w:val="475569"/>
          <w:sz w:val="22"/>
          <w:szCs w:val="22"/>
        </w:rPr>
        <w:t xml:space="preserve">La fermeture d'urgence est la protection de dernier recours. Elle doit être testée avant d'en avoir besoin.</w:t>
      </w:r>
    </w:p>
    <w:p>
      <w:pPr>
        <w:pStyle w:val="ListParagraph"/>
        <w:numPr>
          <w:ilvl w:val="0"/>
          <w:numId w:val="2"/>
        </w:numPr>
        <w:spacing w:before="40" w:after="40"/>
      </w:pPr>
      <w:r>
        <w:rPr>
          <w:color w:val="475569"/>
          <w:sz w:val="22"/>
          <w:szCs w:val="22"/>
        </w:rPr>
        <w:t xml:space="preserve">Créer une position ouverte sur testnet, retirer du collatéral pour descendre la marge sous le seuil d'urgence, et vérifier que forceCloseAllPositions() s'exécute.</w:t>
      </w:r>
    </w:p>
    <w:p>
      <w:pPr>
        <w:pStyle w:val="ListParagraph"/>
        <w:numPr>
          <w:ilvl w:val="0"/>
          <w:numId w:val="2"/>
        </w:numPr>
        <w:spacing w:before="40" w:after="40"/>
      </w:pPr>
      <w:r>
        <w:rPr>
          <w:color w:val="475569"/>
          <w:sz w:val="22"/>
          <w:szCs w:val="22"/>
        </w:rPr>
        <w:t xml:space="preserve">Vérifier que tous les ordres sont bien annulés on-chain en consultant l'explorateur de blocs.</w:t>
      </w:r>
    </w:p>
    <w:p>
      <w:pPr>
        <w:pStyle w:val="ListParagraph"/>
        <w:numPr>
          <w:ilvl w:val="0"/>
          <w:numId w:val="2"/>
        </w:numPr>
        <w:spacing w:before="40" w:after="40"/>
      </w:pPr>
      <w:r>
        <w:rPr>
          <w:color w:val="475569"/>
          <w:sz w:val="22"/>
          <w:szCs w:val="22"/>
        </w:rPr>
        <w:t xml:space="preserve">Tester le cas où la transaction de fermeture échoue (réseau saturé) et vérifier que l'alerte d'urgence manuelle est bien envoyée.</w:t>
      </w:r>
    </w:p>
    <w:p>
      <w:pPr>
        <w:spacing w:before="0" w:after="0"/>
      </w:pPr>
      <w:r>
        <w:t xml:space="preserve"/>
      </w:r>
    </w:p>
    <w:p>
      <w:pPr>
        <w:pStyle w:val="Heading2"/>
        <w:spacing w:before="320" w:after="120"/>
      </w:pPr>
      <w:r>
        <w:rPr>
          <w:b/>
          <w:bCs/>
          <w:color w:val="1B3A6B"/>
        </w:rPr>
        <w:t xml:space="preserve">1.4  Vérification de buildMarketOrderTx()</w:t>
      </w:r>
    </w:p>
    <w:p>
      <w:pPr>
        <w:spacing w:before="60" w:after="60"/>
      </w:pPr>
      <w:r>
        <w:rPr>
          <w:color w:val="475569"/>
          <w:sz w:val="22"/>
          <w:szCs w:val="22"/>
        </w:rPr>
        <w:t xml:space="preserve">Les paramètres actuels contiennent des hypothèses qui doivent être validées contre le contrat DeepBook déployé.</w:t>
      </w:r>
    </w:p>
    <w:p>
      <w:pPr>
        <w:pStyle w:val="ListParagraph"/>
        <w:numPr>
          <w:ilvl w:val="0"/>
          <w:numId w:val="2"/>
        </w:numPr>
        <w:spacing w:before="40" w:after="40"/>
      </w:pPr>
      <w:r>
        <w:rPr>
          <w:color w:val="475569"/>
          <w:sz w:val="22"/>
          <w:szCs w:val="22"/>
        </w:rPr>
        <w:t xml:space="preserve">Confirmer que balanceManagerKey: 'MANAGER' correspond à la clé réelle du balance manager dans votre contexte.</w:t>
      </w:r>
    </w:p>
    <w:p>
      <w:pPr>
        <w:pStyle w:val="ListParagraph"/>
        <w:numPr>
          <w:ilvl w:val="0"/>
          <w:numId w:val="2"/>
        </w:numPr>
        <w:spacing w:before="40" w:after="40"/>
      </w:pPr>
      <w:r>
        <w:rPr>
          <w:color w:val="475569"/>
          <w:sz w:val="22"/>
          <w:szCs w:val="22"/>
        </w:rPr>
        <w:t xml:space="preserve">Vérifier que orderType: 0 correspond bien à un ordre marché dans la version du contrat sur mainnet.</w:t>
      </w:r>
    </w:p>
    <w:p>
      <w:pPr>
        <w:pStyle w:val="ListParagraph"/>
        <w:numPr>
          <w:ilvl w:val="0"/>
          <w:numId w:val="2"/>
        </w:numPr>
        <w:spacing w:before="40" w:after="40"/>
      </w:pPr>
      <w:r>
        <w:rPr>
          <w:color w:val="475569"/>
          <w:sz w:val="22"/>
          <w:szCs w:val="22"/>
        </w:rPr>
        <w:t xml:space="preserve">Valider que payWithDeep: true est compatible avec les pools cibles — certains pools n'acceptent pas les frais en DEEP.</w:t>
      </w:r>
    </w:p>
    <w:p>
      <w:pPr>
        <w:spacing w:before="0" w:after="0"/>
      </w:pPr>
      <w:r>
        <w:t xml:space="preserve"/>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6840"/>
        <w:gridCol w:w="1800"/>
      </w:tblGrid>
      <w:tr>
        <w:tc>
          <w:tcPr>
            <w:tcW w:type="dxa" w:w="720"/>
            <w:tcBorders>
              <w:top w:val="none" w:color="FFFFFF" w:sz="0"/>
              <w:left w:val="none" w:color="FFFFFF" w:sz="0"/>
              <w:bottom w:val="none" w:color="FFFFFF" w:sz="0"/>
              <w:right w:val="none" w:color="FFFFFF" w:sz="0"/>
            </w:tcBorders>
            <w:shd w:fill="1D4ED8" w:val="clear"/>
            <w:tcMar>
              <w:top w:type="dxa" w:w="80"/>
              <w:left w:type="dxa" w:w="100"/>
              <w:bottom w:type="dxa" w:w="80"/>
              <w:right w:type="dxa" w:w="100"/>
            </w:tcMar>
            <w:vAlign w:val="center"/>
          </w:tcPr>
          <w:p>
            <w:pPr>
              <w:jc w:val="center"/>
            </w:pPr>
            <w:r>
              <w:rPr>
                <w:b/>
                <w:bCs/>
                <w:color w:val="FFFFFF"/>
                <w:sz w:val="28"/>
                <w:szCs w:val="28"/>
              </w:rPr>
              <w:t xml:space="preserve">2</w:t>
            </w:r>
          </w:p>
        </w:tc>
        <w:tc>
          <w:tcPr>
            <w:tcW w:type="dxa" w:w="6840"/>
            <w:tcBorders>
              <w:top w:val="none" w:color="FFFFFF" w:sz="0"/>
              <w:left w:val="none" w:color="FFFFFF" w:sz="0"/>
              <w:bottom w:val="none" w:color="FFFFFF" w:sz="0"/>
              <w:right w:val="none" w:color="FFFFFF" w:sz="0"/>
            </w:tcBorders>
            <w:shd w:fill="1D4ED8" w:val="clear"/>
            <w:tcMar>
              <w:top w:type="dxa" w:w="80"/>
              <w:left w:type="dxa" w:w="200"/>
              <w:bottom w:type="dxa" w:w="80"/>
              <w:right w:type="dxa" w:w="100"/>
            </w:tcMar>
          </w:tcPr>
          <w:p>
            <w:r>
              <w:rPr>
                <w:b/>
                <w:bCs/>
                <w:color w:val="FFFFFF"/>
                <w:sz w:val="26"/>
                <w:szCs w:val="26"/>
              </w:rPr>
              <w:t xml:space="preserve">Tests sur testnet</w:t>
            </w:r>
          </w:p>
        </w:tc>
        <w:tc>
          <w:tcPr>
            <w:tcW w:type="dxa" w:w="1800"/>
            <w:tcBorders>
              <w:top w:val="none" w:color="FFFFFF" w:sz="0"/>
              <w:left w:val="none" w:color="FFFFFF" w:sz="0"/>
              <w:bottom w:val="none" w:color="FFFFFF" w:sz="0"/>
              <w:right w:val="none" w:color="FFFFFF" w:sz="0"/>
            </w:tcBorders>
            <w:shd w:fill="1D4ED8" w:val="clear"/>
            <w:tcMar>
              <w:top w:type="dxa" w:w="80"/>
              <w:left w:type="dxa" w:w="100"/>
              <w:bottom w:type="dxa" w:w="80"/>
              <w:right w:type="dxa" w:w="120"/>
            </w:tcMar>
          </w:tcPr>
          <w:p>
            <w:pPr>
              <w:jc w:val="right"/>
            </w:pPr>
            <w:r>
              <w:rPr>
                <w:color w:val="FFFFFF"/>
                <w:sz w:val="20"/>
                <w:szCs w:val="20"/>
              </w:rPr>
              <w:t xml:space="preserve">2–4 semaines</w:t>
            </w:r>
          </w:p>
        </w:tc>
      </w:tr>
    </w:tbl>
    <w:p>
      <w:pPr>
        <w:spacing w:before="0" w:after="0"/>
      </w:pPr>
      <w:r>
        <w:t xml:space="preserve"/>
      </w:r>
    </w:p>
    <w:p>
      <w:pPr>
        <w:spacing w:before="60" w:after="60"/>
      </w:pPr>
      <w:r>
        <w:rPr>
          <w:color w:val="475569"/>
          <w:sz w:val="22"/>
          <w:szCs w:val="22"/>
        </w:rPr>
        <w:t xml:space="preserve">C'est la phase la plus longue et la plus importante. Il n'existe pas de raccourci : le bot doit tourner en continu sur testnet suffisamment longtemps pour rencontrer des situations réelles.</w:t>
      </w:r>
    </w:p>
    <w:p>
      <w:pPr>
        <w:spacing w:before="0" w:after="0"/>
      </w:pPr>
      <w:r>
        <w:t xml:space="preserve"/>
      </w:r>
    </w:p>
    <w:p>
      <w:pPr>
        <w:pStyle w:val="Heading2"/>
        <w:spacing w:before="320" w:after="120"/>
      </w:pPr>
      <w:r>
        <w:rPr>
          <w:b/>
          <w:bCs/>
          <w:color w:val="1B3A6B"/>
        </w:rPr>
        <w:t xml:space="preserve">2.1  Déploiement continu sur testnet</w:t>
      </w:r>
    </w:p>
    <w:p>
      <w:pPr>
        <w:pStyle w:val="ListParagraph"/>
        <w:numPr>
          <w:ilvl w:val="0"/>
          <w:numId w:val="2"/>
        </w:numPr>
        <w:spacing w:before="40" w:after="40"/>
      </w:pPr>
      <w:r>
        <w:rPr>
          <w:color w:val="475569"/>
          <w:sz w:val="22"/>
          <w:szCs w:val="22"/>
        </w:rPr>
        <w:t xml:space="preserve">Faire tourner le bot 24h/24 pendant au moins 2 semaines sur des pools réels du testnet Sui.</w:t>
      </w:r>
    </w:p>
    <w:p>
      <w:pPr>
        <w:pStyle w:val="ListParagraph"/>
        <w:numPr>
          <w:ilvl w:val="0"/>
          <w:numId w:val="2"/>
        </w:numPr>
        <w:spacing w:before="40" w:after="40"/>
      </w:pPr>
      <w:r>
        <w:rPr>
          <w:color w:val="475569"/>
          <w:sz w:val="22"/>
          <w:szCs w:val="22"/>
        </w:rPr>
        <w:t xml:space="preserve">Observer la fréquence des hedges, la taille moyenne des ordres, et le gas consommé par cycle.</w:t>
      </w:r>
    </w:p>
    <w:p>
      <w:pPr>
        <w:pStyle w:val="ListParagraph"/>
        <w:numPr>
          <w:ilvl w:val="0"/>
          <w:numId w:val="2"/>
        </w:numPr>
        <w:spacing w:before="40" w:after="40"/>
      </w:pPr>
      <w:r>
        <w:rPr>
          <w:color w:val="475569"/>
          <w:sz w:val="22"/>
          <w:szCs w:val="22"/>
        </w:rPr>
        <w:t xml:space="preserve">Vérifier que le delta reste bien dans la zone cible après chaque hedge (ne rebondit pas immédiatement au-dessus du seuil).</w:t>
      </w:r>
    </w:p>
    <w:p>
      <w:pPr>
        <w:pStyle w:val="ListParagraph"/>
        <w:numPr>
          <w:ilvl w:val="0"/>
          <w:numId w:val="2"/>
        </w:numPr>
        <w:spacing w:before="40" w:after="40"/>
      </w:pPr>
      <w:r>
        <w:rPr>
          <w:color w:val="475569"/>
          <w:sz w:val="22"/>
          <w:szCs w:val="22"/>
        </w:rPr>
        <w:t xml:space="preserve">Surveiller les métriques Prometheus et s'assurer que toutes les valeurs sont dans les plages attendues.</w:t>
      </w:r>
    </w:p>
    <w:p>
      <w:pPr>
        <w:spacing w:before="0" w:after="0"/>
      </w:pPr>
      <w:r>
        <w:t xml:space="preserve"/>
      </w:r>
    </w:p>
    <w:p>
      <w:pPr>
        <w:pStyle w:val="Heading2"/>
        <w:spacing w:before="320" w:after="120"/>
      </w:pPr>
      <w:r>
        <w:rPr>
          <w:b/>
          <w:bCs/>
          <w:color w:val="1B3A6B"/>
        </w:rPr>
        <w:t xml:space="preserve">2.2  Tests de stress</w:t>
      </w:r>
    </w:p>
    <w:p>
      <w:pPr>
        <w:pStyle w:val="ListParagraph"/>
        <w:numPr>
          <w:ilvl w:val="0"/>
          <w:numId w:val="2"/>
        </w:numPr>
        <w:spacing w:before="40" w:after="40"/>
      </w:pPr>
      <w:r>
        <w:rPr>
          <w:color w:val="475569"/>
          <w:sz w:val="22"/>
          <w:szCs w:val="22"/>
        </w:rPr>
        <w:t xml:space="preserve">Simuler une forte volatilité en passant manuellement des ordres importants pour faire varier le delta rapidement.</w:t>
      </w:r>
    </w:p>
    <w:p>
      <w:pPr>
        <w:pStyle w:val="ListParagraph"/>
        <w:numPr>
          <w:ilvl w:val="0"/>
          <w:numId w:val="2"/>
        </w:numPr>
        <w:spacing w:before="40" w:after="40"/>
      </w:pPr>
      <w:r>
        <w:rPr>
          <w:color w:val="475569"/>
          <w:sz w:val="22"/>
          <w:szCs w:val="22"/>
        </w:rPr>
        <w:t xml:space="preserve">Vérifier que le bot ne passe pas des ordres contradictoires (buy et sell sur le même pool dans le même cycle).</w:t>
      </w:r>
    </w:p>
    <w:p>
      <w:pPr>
        <w:pStyle w:val="ListParagraph"/>
        <w:numPr>
          <w:ilvl w:val="0"/>
          <w:numId w:val="2"/>
        </w:numPr>
        <w:spacing w:before="40" w:after="40"/>
      </w:pPr>
      <w:r>
        <w:rPr>
          <w:color w:val="475569"/>
          <w:sz w:val="22"/>
          <w:szCs w:val="22"/>
        </w:rPr>
        <w:t xml:space="preserve">Tester le comportement quand plusieurs pools passent en zone critique simultanément.</w:t>
      </w:r>
    </w:p>
    <w:p>
      <w:pPr>
        <w:pStyle w:val="ListParagraph"/>
        <w:numPr>
          <w:ilvl w:val="0"/>
          <w:numId w:val="2"/>
        </w:numPr>
        <w:spacing w:before="40" w:after="40"/>
      </w:pPr>
      <w:r>
        <w:rPr>
          <w:color w:val="475569"/>
          <w:sz w:val="22"/>
          <w:szCs w:val="22"/>
        </w:rPr>
        <w:t xml:space="preserve">Vérifier que le rate limiting empêche un emballement des ordres en cas de bug de calcul.</w:t>
      </w:r>
    </w:p>
    <w:p>
      <w:pPr>
        <w:spacing w:before="0" w:after="0"/>
      </w:pPr>
      <w:r>
        <w:t xml:space="preserve"/>
      </w:r>
    </w:p>
    <w:p>
      <w:pPr>
        <w:pStyle w:val="Heading2"/>
        <w:spacing w:before="320" w:after="120"/>
      </w:pPr>
      <w:r>
        <w:rPr>
          <w:b/>
          <w:bCs/>
          <w:color w:val="1B3A6B"/>
        </w:rPr>
        <w:t xml:space="preserve">2.3  Tests de résilience</w:t>
      </w:r>
    </w:p>
    <w:p>
      <w:pPr>
        <w:pStyle w:val="ListParagraph"/>
        <w:numPr>
          <w:ilvl w:val="0"/>
          <w:numId w:val="2"/>
        </w:numPr>
        <w:spacing w:before="40" w:after="40"/>
      </w:pPr>
      <w:r>
        <w:rPr>
          <w:color w:val="475569"/>
          <w:sz w:val="22"/>
          <w:szCs w:val="22"/>
        </w:rPr>
        <w:t xml:space="preserve">Couper le RPC intentionnellement et vérifier que le fallback polling prend le relais sans lever d'exception non gérée.</w:t>
      </w:r>
    </w:p>
    <w:p>
      <w:pPr>
        <w:pStyle w:val="ListParagraph"/>
        <w:numPr>
          <w:ilvl w:val="0"/>
          <w:numId w:val="2"/>
        </w:numPr>
        <w:spacing w:before="40" w:after="40"/>
      </w:pPr>
      <w:r>
        <w:rPr>
          <w:color w:val="475569"/>
          <w:sz w:val="22"/>
          <w:szCs w:val="22"/>
        </w:rPr>
        <w:t xml:space="preserve">Redémarrer le bot en cours d'exécution avec des positions ouvertes et vérifier que l'état est correctement rechargé depuis la persistance.</w:t>
      </w:r>
    </w:p>
    <w:p>
      <w:pPr>
        <w:pStyle w:val="ListParagraph"/>
        <w:numPr>
          <w:ilvl w:val="0"/>
          <w:numId w:val="2"/>
        </w:numPr>
        <w:spacing w:before="40" w:after="40"/>
      </w:pPr>
      <w:r>
        <w:rPr>
          <w:color w:val="475569"/>
          <w:sz w:val="22"/>
          <w:szCs w:val="22"/>
        </w:rPr>
        <w:t xml:space="preserve">Tester la reconnexion WebSocket après des coupures de 1 minute, 5 minutes, et 30 minutes.</w:t>
      </w:r>
    </w:p>
    <w:p>
      <w:pPr>
        <w:pStyle w:val="ListParagraph"/>
        <w:numPr>
          <w:ilvl w:val="0"/>
          <w:numId w:val="2"/>
        </w:numPr>
        <w:spacing w:before="40" w:after="40"/>
      </w:pPr>
      <w:r>
        <w:rPr>
          <w:color w:val="475569"/>
          <w:sz w:val="22"/>
          <w:szCs w:val="22"/>
        </w:rPr>
        <w:t xml:space="preserve">Simuler un redémarrage avec le circuit breaker ouvert et vérifier qu'il reste ouvert après le redémarrage.</w:t>
      </w:r>
    </w:p>
    <w:p>
      <w:pPr>
        <w:spacing w:before="0" w:after="0"/>
      </w:pPr>
      <w:r>
        <w:t xml:space="preserve"/>
      </w:r>
    </w:p>
    <w:p>
      <w:pPr>
        <w:pStyle w:val="Heading2"/>
        <w:spacing w:before="320" w:after="120"/>
      </w:pPr>
      <w:r>
        <w:rPr>
          <w:b/>
          <w:bCs/>
          <w:color w:val="1B3A6B"/>
        </w:rPr>
        <w:t xml:space="preserve">2.4  Calibration des seuils</w:t>
      </w:r>
    </w:p>
    <w:p>
      <w:pPr>
        <w:spacing w:before="60" w:after="60"/>
      </w:pPr>
      <w:r>
        <w:rPr>
          <w:color w:val="475569"/>
          <w:sz w:val="22"/>
          <w:szCs w:val="22"/>
        </w:rPr>
        <w:t xml:space="preserve">Les valeurs par défaut du .env sont des estimations raisonnables pour commencer, mais doivent être affinées en fonction du comportement réel observé.</w:t>
      </w:r>
    </w:p>
    <w:p>
      <w:pPr>
        <w:pStyle w:val="ListParagraph"/>
        <w:numPr>
          <w:ilvl w:val="0"/>
          <w:numId w:val="2"/>
        </w:numPr>
        <w:spacing w:before="40" w:after="40"/>
      </w:pPr>
      <w:r>
        <w:rPr>
          <w:color w:val="475569"/>
          <w:sz w:val="22"/>
          <w:szCs w:val="22"/>
        </w:rPr>
        <w:t xml:space="preserve">Ajuster DELTA_THRESHOLD selon la volatilité typique du pool — un seuil trop bas crée des frais excessifs, trop haut laisse le delta dériver.</w:t>
      </w:r>
    </w:p>
    <w:p>
      <w:pPr>
        <w:pStyle w:val="ListParagraph"/>
        <w:numPr>
          <w:ilvl w:val="0"/>
          <w:numId w:val="2"/>
        </w:numPr>
        <w:spacing w:before="40" w:after="40"/>
      </w:pPr>
      <w:r>
        <w:rPr>
          <w:color w:val="475569"/>
          <w:sz w:val="22"/>
          <w:szCs w:val="22"/>
        </w:rPr>
        <w:t xml:space="preserve">Calibrer MARGIN_WARN_PCT, MARGIN_CRITICAL_PCT, et MARGIN_EMERGENCY_PCT selon les conditions de liquidité réelles du pool.</w:t>
      </w:r>
    </w:p>
    <w:p>
      <w:pPr>
        <w:pStyle w:val="ListParagraph"/>
        <w:numPr>
          <w:ilvl w:val="0"/>
          <w:numId w:val="2"/>
        </w:numPr>
        <w:spacing w:before="40" w:after="40"/>
      </w:pPr>
      <w:r>
        <w:rPr>
          <w:color w:val="475569"/>
          <w:sz w:val="22"/>
          <w:szCs w:val="22"/>
        </w:rPr>
        <w:t xml:space="preserve">Valider que MAX_SLIPPAGE_PCT est adapté à la liquidité du pool — un pool peu liquide nécessite un seuil plus élevé.</w:t>
      </w:r>
    </w:p>
    <w:p>
      <w:pPr>
        <w:spacing w:before="0" w:after="0"/>
      </w:pPr>
      <w:r>
        <w:t xml:space="preserve"/>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6840"/>
        <w:gridCol w:w="1800"/>
      </w:tblGrid>
      <w:tr>
        <w:tc>
          <w:tcPr>
            <w:tcW w:type="dxa" w:w="720"/>
            <w:tcBorders>
              <w:top w:val="none" w:color="FFFFFF" w:sz="0"/>
              <w:left w:val="none" w:color="FFFFFF" w:sz="0"/>
              <w:bottom w:val="none" w:color="FFFFFF" w:sz="0"/>
              <w:right w:val="none" w:color="FFFFFF" w:sz="0"/>
            </w:tcBorders>
            <w:shd w:fill="7C3AED" w:val="clear"/>
            <w:tcMar>
              <w:top w:type="dxa" w:w="80"/>
              <w:left w:type="dxa" w:w="100"/>
              <w:bottom w:type="dxa" w:w="80"/>
              <w:right w:type="dxa" w:w="100"/>
            </w:tcMar>
            <w:vAlign w:val="center"/>
          </w:tcPr>
          <w:p>
            <w:pPr>
              <w:jc w:val="center"/>
            </w:pPr>
            <w:r>
              <w:rPr>
                <w:b/>
                <w:bCs/>
                <w:color w:val="FFFFFF"/>
                <w:sz w:val="28"/>
                <w:szCs w:val="28"/>
              </w:rPr>
              <w:t xml:space="preserve">3</w:t>
            </w:r>
          </w:p>
        </w:tc>
        <w:tc>
          <w:tcPr>
            <w:tcW w:type="dxa" w:w="6840"/>
            <w:tcBorders>
              <w:top w:val="none" w:color="FFFFFF" w:sz="0"/>
              <w:left w:val="none" w:color="FFFFFF" w:sz="0"/>
              <w:bottom w:val="none" w:color="FFFFFF" w:sz="0"/>
              <w:right w:val="none" w:color="FFFFFF" w:sz="0"/>
            </w:tcBorders>
            <w:shd w:fill="7C3AED" w:val="clear"/>
            <w:tcMar>
              <w:top w:type="dxa" w:w="80"/>
              <w:left w:type="dxa" w:w="200"/>
              <w:bottom w:type="dxa" w:w="80"/>
              <w:right w:type="dxa" w:w="100"/>
            </w:tcMar>
          </w:tcPr>
          <w:p>
            <w:r>
              <w:rPr>
                <w:b/>
                <w:bCs/>
                <w:color w:val="FFFFFF"/>
                <w:sz w:val="26"/>
                <w:szCs w:val="26"/>
              </w:rPr>
              <w:t xml:space="preserve">Hardening technique</w:t>
            </w:r>
          </w:p>
        </w:tc>
        <w:tc>
          <w:tcPr>
            <w:tcW w:type="dxa" w:w="1800"/>
            <w:tcBorders>
              <w:top w:val="none" w:color="FFFFFF" w:sz="0"/>
              <w:left w:val="none" w:color="FFFFFF" w:sz="0"/>
              <w:bottom w:val="none" w:color="FFFFFF" w:sz="0"/>
              <w:right w:val="none" w:color="FFFFFF" w:sz="0"/>
            </w:tcBorders>
            <w:shd w:fill="7C3AED" w:val="clear"/>
            <w:tcMar>
              <w:top w:type="dxa" w:w="80"/>
              <w:left w:type="dxa" w:w="100"/>
              <w:bottom w:type="dxa" w:w="80"/>
              <w:right w:type="dxa" w:w="120"/>
            </w:tcMar>
          </w:tcPr>
          <w:p>
            <w:pPr>
              <w:jc w:val="right"/>
            </w:pPr>
            <w:r>
              <w:rPr>
                <w:color w:val="FFFFFF"/>
                <w:sz w:val="20"/>
                <w:szCs w:val="20"/>
              </w:rPr>
              <w:t xml:space="preserve">1–2 semaines</w:t>
            </w:r>
          </w:p>
        </w:tc>
      </w:tr>
    </w:tbl>
    <w:p>
      <w:pPr>
        <w:spacing w:before="0" w:after="0"/>
      </w:pPr>
      <w:r>
        <w:t xml:space="preserve"/>
      </w:r>
    </w:p>
    <w:p>
      <w:pPr>
        <w:spacing w:before="60" w:after="60"/>
      </w:pPr>
      <w:r>
        <w:rPr>
          <w:color w:val="475569"/>
          <w:sz w:val="22"/>
          <w:szCs w:val="22"/>
        </w:rPr>
        <w:t xml:space="preserve">Cette phase consolide le code pour résister aux cas limites qui n'apparaissent qu'en production.</w:t>
      </w:r>
    </w:p>
    <w:p>
      <w:pPr>
        <w:spacing w:before="0" w:after="0"/>
      </w:pPr>
      <w:r>
        <w:t xml:space="preserve"/>
      </w:r>
    </w:p>
    <w:p>
      <w:pPr>
        <w:pStyle w:val="Heading2"/>
        <w:spacing w:before="320" w:after="120"/>
      </w:pPr>
      <w:r>
        <w:rPr>
          <w:b/>
          <w:bCs/>
          <w:color w:val="1B3A6B"/>
        </w:rPr>
        <w:t xml:space="preserve">3.1  Persistance de l'état</w:t>
      </w:r>
    </w:p>
    <w:p>
      <w:pPr>
        <w:spacing w:before="60" w:after="60"/>
      </w:pPr>
      <w:r>
        <w:rPr>
          <w:color w:val="475569"/>
          <w:sz w:val="22"/>
          <w:szCs w:val="22"/>
        </w:rPr>
        <w:t xml:space="preserve">Actuellement, un redémarrage remet à zéro le circuit breaker et le cache des deltas. En production, c'est inacceptable.</w:t>
      </w:r>
    </w:p>
    <w:p>
      <w:pPr>
        <w:pStyle w:val="ListParagraph"/>
        <w:numPr>
          <w:ilvl w:val="0"/>
          <w:numId w:val="2"/>
        </w:numPr>
        <w:spacing w:before="40" w:after="40"/>
      </w:pPr>
      <w:r>
        <w:rPr>
          <w:color w:val="475569"/>
          <w:sz w:val="22"/>
          <w:szCs w:val="22"/>
        </w:rPr>
        <w:t xml:space="preserve">Stocker dans un fichier JSON ou SQLite : l'état des circuit breakers, les deltas au moment du dernier arrêt, et l'historique des 100 derniers trades.</w:t>
      </w:r>
    </w:p>
    <w:p>
      <w:pPr>
        <w:pStyle w:val="ListParagraph"/>
        <w:numPr>
          <w:ilvl w:val="0"/>
          <w:numId w:val="2"/>
        </w:numPr>
        <w:spacing w:before="40" w:after="40"/>
      </w:pPr>
      <w:r>
        <w:rPr>
          <w:color w:val="475569"/>
          <w:sz w:val="22"/>
          <w:szCs w:val="22"/>
        </w:rPr>
        <w:t xml:space="preserve">Au démarrage, charger l'état persisté et ne réarmer le circuit breaker que si la marge est au-dessus du seuil de reset.</w:t>
      </w:r>
    </w:p>
    <w:p>
      <w:pPr>
        <w:pStyle w:val="ListParagraph"/>
        <w:numPr>
          <w:ilvl w:val="0"/>
          <w:numId w:val="2"/>
        </w:numPr>
        <w:spacing w:before="40" w:after="40"/>
      </w:pPr>
      <w:r>
        <w:rPr>
          <w:color w:val="475569"/>
          <w:sz w:val="22"/>
          <w:szCs w:val="22"/>
        </w:rPr>
        <w:t xml:space="preserve">Implémenter un flush de l'état toutes les 60 secondes pour limiter la perte de données en cas de crash brutal.</w:t>
      </w:r>
    </w:p>
    <w:p>
      <w:pPr>
        <w:spacing w:before="0" w:after="0"/>
      </w:pPr>
      <w:r>
        <w:t xml:space="preserve"/>
      </w:r>
    </w:p>
    <w:p>
      <w:pPr>
        <w:pStyle w:val="Heading2"/>
        <w:spacing w:before="320" w:after="120"/>
      </w:pPr>
      <w:r>
        <w:rPr>
          <w:b/>
          <w:bCs/>
          <w:color w:val="1B3A6B"/>
        </w:rPr>
        <w:t xml:space="preserve">3.2  Validation de la configuration au démarrage</w:t>
      </w:r>
    </w:p>
    <w:p>
      <w:pPr>
        <w:pStyle w:val="ListParagraph"/>
        <w:numPr>
          <w:ilvl w:val="0"/>
          <w:numId w:val="2"/>
        </w:numPr>
        <w:spacing w:before="40" w:after="40"/>
      </w:pPr>
      <w:r>
        <w:rPr>
          <w:color w:val="475569"/>
          <w:sz w:val="22"/>
          <w:szCs w:val="22"/>
        </w:rPr>
        <w:t xml:space="preserve">Refuser de démarrer si LEVERAGE = 0 ou si les seuils de marge sont incohérents (MARGIN_EMERGENCY_PCT &gt; MARGIN_CRITICAL_PCT).</w:t>
      </w:r>
    </w:p>
    <w:p>
      <w:pPr>
        <w:pStyle w:val="ListParagraph"/>
        <w:numPr>
          <w:ilvl w:val="0"/>
          <w:numId w:val="2"/>
        </w:numPr>
        <w:spacing w:before="40" w:after="40"/>
      </w:pPr>
      <w:r>
        <w:rPr>
          <w:color w:val="475569"/>
          <w:sz w:val="22"/>
          <w:szCs w:val="22"/>
        </w:rPr>
        <w:t xml:space="preserve">Valider que KEYSTORE_PATH pointe vers un fichier existant et lisible avant d'essayer de le déchiffrer.</w:t>
      </w:r>
    </w:p>
    <w:p>
      <w:pPr>
        <w:pStyle w:val="ListParagraph"/>
        <w:numPr>
          <w:ilvl w:val="0"/>
          <w:numId w:val="2"/>
        </w:numPr>
        <w:spacing w:before="40" w:after="40"/>
      </w:pPr>
      <w:r>
        <w:rPr>
          <w:color w:val="475569"/>
          <w:sz w:val="22"/>
          <w:szCs w:val="22"/>
        </w:rPr>
        <w:t xml:space="preserve">Vérifier que le RPC_URL répond correctement avant de lancer la boucle principale.</w:t>
      </w:r>
    </w:p>
    <w:p>
      <w:pPr>
        <w:spacing w:before="0" w:after="0"/>
      </w:pPr>
      <w:r>
        <w:t xml:space="preserve"/>
      </w:r>
    </w:p>
    <w:p>
      <w:pPr>
        <w:pStyle w:val="Heading2"/>
        <w:spacing w:before="320" w:after="120"/>
      </w:pPr>
      <w:r>
        <w:rPr>
          <w:b/>
          <w:bCs/>
          <w:color w:val="1B3A6B"/>
        </w:rPr>
        <w:t xml:space="preserve">3.3  Rate limiting des ordres</w:t>
      </w:r>
    </w:p>
    <w:p>
      <w:pPr>
        <w:pStyle w:val="ListParagraph"/>
        <w:numPr>
          <w:ilvl w:val="0"/>
          <w:numId w:val="2"/>
        </w:numPr>
        <w:spacing w:before="40" w:after="40"/>
      </w:pPr>
      <w:r>
        <w:rPr>
          <w:color w:val="475569"/>
          <w:sz w:val="22"/>
          <w:szCs w:val="22"/>
        </w:rPr>
        <w:t xml:space="preserve">Ajouter un compteur d'ordres par minute par pool avec un maximum configurable (ex: MAX_ORDERS_PER_MINUTE=10).</w:t>
      </w:r>
    </w:p>
    <w:p>
      <w:pPr>
        <w:pStyle w:val="ListParagraph"/>
        <w:numPr>
          <w:ilvl w:val="0"/>
          <w:numId w:val="2"/>
        </w:numPr>
        <w:spacing w:before="40" w:after="40"/>
      </w:pPr>
      <w:r>
        <w:rPr>
          <w:color w:val="475569"/>
          <w:sz w:val="22"/>
          <w:szCs w:val="22"/>
        </w:rPr>
        <w:t xml:space="preserve">Si le rate limit est atteint, bloquer les ordres pour le cycle en cours, logger un warning, et envoyer une alerte.</w:t>
      </w:r>
    </w:p>
    <w:p>
      <w:pPr>
        <w:pStyle w:val="ListParagraph"/>
        <w:numPr>
          <w:ilvl w:val="0"/>
          <w:numId w:val="2"/>
        </w:numPr>
        <w:spacing w:before="40" w:after="40"/>
      </w:pPr>
      <w:r>
        <w:rPr>
          <w:color w:val="475569"/>
          <w:sz w:val="22"/>
          <w:szCs w:val="22"/>
        </w:rPr>
        <w:t xml:space="preserve">Ce guard protège contre les boucles infinies créées par un bug de calcul du delta.</w:t>
      </w:r>
    </w:p>
    <w:p>
      <w:pPr>
        <w:spacing w:before="0" w:after="0"/>
      </w:pPr>
      <w:r>
        <w:t xml:space="preserve"/>
      </w:r>
    </w:p>
    <w:p>
      <w:pPr>
        <w:pStyle w:val="Heading2"/>
        <w:spacing w:before="320" w:after="120"/>
      </w:pPr>
      <w:r>
        <w:rPr>
          <w:b/>
          <w:bCs/>
          <w:color w:val="1B3A6B"/>
        </w:rPr>
        <w:t xml:space="preserve">3.4  Vérification du gas avant chaque ordre</w:t>
      </w:r>
    </w:p>
    <w:p>
      <w:pPr>
        <w:pStyle w:val="ListParagraph"/>
        <w:numPr>
          <w:ilvl w:val="0"/>
          <w:numId w:val="2"/>
        </w:numPr>
        <w:spacing w:before="40" w:after="40"/>
      </w:pPr>
      <w:r>
        <w:rPr>
          <w:color w:val="475569"/>
          <w:sz w:val="22"/>
          <w:szCs w:val="22"/>
        </w:rPr>
        <w:t xml:space="preserve">Avant chaque transaction, vérifier que le solde SUI du wallet est suffisant pour couvrir le gas estimé par le dryRun.</w:t>
      </w:r>
    </w:p>
    <w:p>
      <w:pPr>
        <w:pStyle w:val="ListParagraph"/>
        <w:numPr>
          <w:ilvl w:val="0"/>
          <w:numId w:val="2"/>
        </w:numPr>
        <w:spacing w:before="40" w:after="40"/>
      </w:pPr>
      <w:r>
        <w:rPr>
          <w:color w:val="475569"/>
          <w:sz w:val="22"/>
          <w:szCs w:val="22"/>
        </w:rPr>
        <w:t xml:space="preserve">Si le solde est insuffisant, bloquer l'ordre, envoyer une alerte critique, et ouvrir le circuit breaker.</w:t>
      </w:r>
    </w:p>
    <w:p>
      <w:pPr>
        <w:pStyle w:val="ListParagraph"/>
        <w:numPr>
          <w:ilvl w:val="0"/>
          <w:numId w:val="2"/>
        </w:numPr>
        <w:spacing w:before="40" w:after="40"/>
      </w:pPr>
      <w:r>
        <w:rPr>
          <w:color w:val="475569"/>
          <w:sz w:val="22"/>
          <w:szCs w:val="22"/>
        </w:rPr>
        <w:t xml:space="preserve">Ne pas attendre le cycle de vérification du solde toutes les 5 minutes — une transaction échouée faute de gas peut laisser une position partiellement hedgée.</w:t>
      </w:r>
    </w:p>
    <w:p>
      <w:pPr>
        <w:spacing w:before="0" w:after="0"/>
      </w:pPr>
      <w:r>
        <w:t xml:space="preserve"/>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6840"/>
        <w:gridCol w:w="1800"/>
      </w:tblGrid>
      <w:tr>
        <w:tc>
          <w:tcPr>
            <w:tcW w:type="dxa" w:w="720"/>
            <w:tcBorders>
              <w:top w:val="none" w:color="FFFFFF" w:sz="0"/>
              <w:left w:val="none" w:color="FFFFFF" w:sz="0"/>
              <w:bottom w:val="none" w:color="FFFFFF" w:sz="0"/>
              <w:right w:val="none" w:color="FFFFFF" w:sz="0"/>
            </w:tcBorders>
            <w:shd w:fill="0F766E" w:val="clear"/>
            <w:tcMar>
              <w:top w:type="dxa" w:w="80"/>
              <w:left w:type="dxa" w:w="100"/>
              <w:bottom w:type="dxa" w:w="80"/>
              <w:right w:type="dxa" w:w="100"/>
            </w:tcMar>
            <w:vAlign w:val="center"/>
          </w:tcPr>
          <w:p>
            <w:pPr>
              <w:jc w:val="center"/>
            </w:pPr>
            <w:r>
              <w:rPr>
                <w:b/>
                <w:bCs/>
                <w:color w:val="FFFFFF"/>
                <w:sz w:val="28"/>
                <w:szCs w:val="28"/>
              </w:rPr>
              <w:t xml:space="preserve">4</w:t>
            </w:r>
          </w:p>
        </w:tc>
        <w:tc>
          <w:tcPr>
            <w:tcW w:type="dxa" w:w="6840"/>
            <w:tcBorders>
              <w:top w:val="none" w:color="FFFFFF" w:sz="0"/>
              <w:left w:val="none" w:color="FFFFFF" w:sz="0"/>
              <w:bottom w:val="none" w:color="FFFFFF" w:sz="0"/>
              <w:right w:val="none" w:color="FFFFFF" w:sz="0"/>
            </w:tcBorders>
            <w:shd w:fill="0F766E" w:val="clear"/>
            <w:tcMar>
              <w:top w:type="dxa" w:w="80"/>
              <w:left w:type="dxa" w:w="200"/>
              <w:bottom w:type="dxa" w:w="80"/>
              <w:right w:type="dxa" w:w="100"/>
            </w:tcMar>
          </w:tcPr>
          <w:p>
            <w:r>
              <w:rPr>
                <w:b/>
                <w:bCs/>
                <w:color w:val="FFFFFF"/>
                <w:sz w:val="26"/>
                <w:szCs w:val="26"/>
              </w:rPr>
              <w:t xml:space="preserve">Infrastructure de production</w:t>
            </w:r>
          </w:p>
        </w:tc>
        <w:tc>
          <w:tcPr>
            <w:tcW w:type="dxa" w:w="1800"/>
            <w:tcBorders>
              <w:top w:val="none" w:color="FFFFFF" w:sz="0"/>
              <w:left w:val="none" w:color="FFFFFF" w:sz="0"/>
              <w:bottom w:val="none" w:color="FFFFFF" w:sz="0"/>
              <w:right w:val="none" w:color="FFFFFF" w:sz="0"/>
            </w:tcBorders>
            <w:shd w:fill="0F766E" w:val="clear"/>
            <w:tcMar>
              <w:top w:type="dxa" w:w="80"/>
              <w:left w:type="dxa" w:w="100"/>
              <w:bottom w:type="dxa" w:w="80"/>
              <w:right w:type="dxa" w:w="120"/>
            </w:tcMar>
          </w:tcPr>
          <w:p>
            <w:pPr>
              <w:jc w:val="right"/>
            </w:pPr>
            <w:r>
              <w:rPr>
                <w:color w:val="FFFFFF"/>
                <w:sz w:val="20"/>
                <w:szCs w:val="20"/>
              </w:rPr>
              <w:t xml:space="preserve">1 semaine</w:t>
            </w:r>
          </w:p>
        </w:tc>
      </w:tr>
    </w:tbl>
    <w:p>
      <w:pPr>
        <w:spacing w:before="0" w:after="0"/>
      </w:pPr>
      <w:r>
        <w:t xml:space="preserve"/>
      </w:r>
    </w:p>
    <w:p>
      <w:pPr>
        <w:pStyle w:val="Heading2"/>
        <w:spacing w:before="320" w:after="120"/>
      </w:pPr>
      <w:r>
        <w:rPr>
          <w:b/>
          <w:bCs/>
          <w:color w:val="1B3A6B"/>
        </w:rPr>
        <w:t xml:space="preserve">4.1  Environnement Docker sécurisé</w:t>
      </w:r>
    </w:p>
    <w:p>
      <w:pPr>
        <w:pStyle w:val="ListParagraph"/>
        <w:numPr>
          <w:ilvl w:val="0"/>
          <w:numId w:val="2"/>
        </w:numPr>
        <w:spacing w:before="40" w:after="40"/>
      </w:pPr>
      <w:r>
        <w:rPr>
          <w:color w:val="475569"/>
          <w:sz w:val="22"/>
          <w:szCs w:val="22"/>
        </w:rPr>
        <w:t xml:space="preserve">Containeriser le bot avec un utilisateur non-root et un système de fichiers en lecture seule sauf pour les logs et la persistance.</w:t>
      </w:r>
    </w:p>
    <w:p>
      <w:pPr>
        <w:pStyle w:val="ListParagraph"/>
        <w:numPr>
          <w:ilvl w:val="0"/>
          <w:numId w:val="2"/>
        </w:numPr>
        <w:spacing w:before="40" w:after="40"/>
      </w:pPr>
      <w:r>
        <w:rPr>
          <w:color w:val="475569"/>
          <w:sz w:val="22"/>
          <w:szCs w:val="22"/>
        </w:rPr>
        <w:t xml:space="preserve">Monter le keystore chiffré via un secret Docker ou Kubernetes — jamais via le filesystem host dans un environnement partagé.</w:t>
      </w:r>
    </w:p>
    <w:p>
      <w:pPr>
        <w:pStyle w:val="ListParagraph"/>
        <w:numPr>
          <w:ilvl w:val="0"/>
          <w:numId w:val="2"/>
        </w:numPr>
        <w:spacing w:before="40" w:after="40"/>
      </w:pPr>
      <w:r>
        <w:rPr>
          <w:color w:val="475569"/>
          <w:sz w:val="22"/>
          <w:szCs w:val="22"/>
        </w:rPr>
        <w:t xml:space="preserve">Limiter l'accès réseau aux seuls domaines nécessaires : RPC Sui, indexer Mysten, Telegram/Discord pour les alertes.</w:t>
      </w:r>
    </w:p>
    <w:p>
      <w:pPr>
        <w:spacing w:before="0" w:after="0"/>
      </w:pPr>
      <w:r>
        <w:t xml:space="preserve"/>
      </w:r>
    </w:p>
    <w:p>
      <w:pPr>
        <w:pStyle w:val="Heading2"/>
        <w:spacing w:before="320" w:after="120"/>
      </w:pPr>
      <w:r>
        <w:rPr>
          <w:b/>
          <w:bCs/>
          <w:color w:val="1B3A6B"/>
        </w:rPr>
        <w:t xml:space="preserve">4.2  Monitoring et alertes 24/7</w:t>
      </w:r>
    </w:p>
    <w:p>
      <w:pPr>
        <w:pStyle w:val="ListParagraph"/>
        <w:numPr>
          <w:ilvl w:val="0"/>
          <w:numId w:val="2"/>
        </w:numPr>
        <w:spacing w:before="40" w:after="40"/>
      </w:pPr>
      <w:r>
        <w:rPr>
          <w:color w:val="475569"/>
          <w:sz w:val="22"/>
          <w:szCs w:val="22"/>
        </w:rPr>
        <w:t xml:space="preserve">Configurer Grafana avec des dashboards sur les métriques Prometheus : delta par pool, ratio de marge, ordres/heure, durée des transactions.</w:t>
      </w:r>
    </w:p>
    <w:p>
      <w:pPr>
        <w:pStyle w:val="ListParagraph"/>
        <w:numPr>
          <w:ilvl w:val="0"/>
          <w:numId w:val="2"/>
        </w:numPr>
        <w:spacing w:before="40" w:after="40"/>
      </w:pPr>
      <w:r>
        <w:rPr>
          <w:color w:val="475569"/>
          <w:sz w:val="22"/>
          <w:szCs w:val="22"/>
        </w:rPr>
        <w:t xml:space="preserve">Créer des alertes Grafana sur : circuit breaker ouvert depuis plus de 30 minutes, absence de hedge_cycle_last_timestamp depuis plus de 2 × CHECK_INTERVAL_MS, solde wallet sous 1 SUI.</w:t>
      </w:r>
    </w:p>
    <w:p>
      <w:pPr>
        <w:pStyle w:val="ListParagraph"/>
        <w:numPr>
          <w:ilvl w:val="0"/>
          <w:numId w:val="2"/>
        </w:numPr>
        <w:spacing w:before="40" w:after="40"/>
      </w:pPr>
      <w:r>
        <w:rPr>
          <w:color w:val="475569"/>
          <w:sz w:val="22"/>
          <w:szCs w:val="22"/>
        </w:rPr>
        <w:t xml:space="preserve">Configurer une alerte de type "dead man's switch" : si le bot ne met pas à jour la métrique hedge_cycle_last_timestamp pendant 10 minutes, déclencher une alerte critique.</w:t>
      </w:r>
    </w:p>
    <w:p>
      <w:pPr>
        <w:spacing w:before="0" w:after="0"/>
      </w:pPr>
      <w:r>
        <w:t xml:space="preserve"/>
      </w:r>
    </w:p>
    <w:p>
      <w:pPr>
        <w:pStyle w:val="Heading2"/>
        <w:spacing w:before="320" w:after="120"/>
      </w:pPr>
      <w:r>
        <w:rPr>
          <w:b/>
          <w:bCs/>
          <w:color w:val="1B3A6B"/>
        </w:rPr>
        <w:t xml:space="preserve">4.3  Logs de production</w:t>
      </w:r>
    </w:p>
    <w:p>
      <w:pPr>
        <w:pStyle w:val="ListParagraph"/>
        <w:numPr>
          <w:ilvl w:val="0"/>
          <w:numId w:val="2"/>
        </w:numPr>
        <w:spacing w:before="40" w:after="40"/>
      </w:pPr>
      <w:r>
        <w:rPr>
          <w:color w:val="475569"/>
          <w:sz w:val="22"/>
          <w:szCs w:val="22"/>
        </w:rPr>
        <w:t xml:space="preserve">Remplacer les console.info par pino avec rotation quotidienne des fichiers et archivage sur 30 jours.</w:t>
      </w:r>
    </w:p>
    <w:p>
      <w:pPr>
        <w:pStyle w:val="ListParagraph"/>
        <w:numPr>
          <w:ilvl w:val="0"/>
          <w:numId w:val="2"/>
        </w:numPr>
        <w:spacing w:before="40" w:after="40"/>
      </w:pPr>
      <w:r>
        <w:rPr>
          <w:color w:val="475569"/>
          <w:sz w:val="22"/>
          <w:szCs w:val="22"/>
        </w:rPr>
        <w:t xml:space="preserve">Ajouter un corrélation ID unique par cycle de hedging pour faciliter le debugging post-incident.</w:t>
      </w:r>
    </w:p>
    <w:p>
      <w:pPr>
        <w:pStyle w:val="ListParagraph"/>
        <w:numPr>
          <w:ilvl w:val="0"/>
          <w:numId w:val="2"/>
        </w:numPr>
        <w:spacing w:before="40" w:after="40"/>
      </w:pPr>
      <w:r>
        <w:rPr>
          <w:color w:val="475569"/>
          <w:sz w:val="22"/>
          <w:szCs w:val="22"/>
        </w:rPr>
        <w:t xml:space="preserve">Centraliser les logs dans un service dédié (Datadog, Loki, ou équivalent) pour pouvoir investiguer sans accès SSH au serveur.</w:t>
      </w:r>
    </w:p>
    <w:p>
      <w:pPr>
        <w:spacing w:before="0" w:after="0"/>
      </w:pPr>
      <w:r>
        <w:t xml:space="preserve"/>
      </w:r>
    </w:p>
    <w:p>
      <w:pPr>
        <w:pStyle w:val="Heading2"/>
        <w:spacing w:before="320" w:after="120"/>
      </w:pPr>
      <w:r>
        <w:rPr>
          <w:b/>
          <w:bCs/>
          <w:color w:val="1B3A6B"/>
        </w:rPr>
        <w:t xml:space="preserve">4.4  Runbook opérationnel</w:t>
      </w:r>
    </w:p>
    <w:p>
      <w:pPr>
        <w:spacing w:before="60" w:after="60"/>
      </w:pPr>
      <w:r>
        <w:rPr>
          <w:color w:val="475569"/>
          <w:sz w:val="22"/>
          <w:szCs w:val="22"/>
        </w:rPr>
        <w:t xml:space="preserve">Documenter les procédures manuelles à effectuer dans les situations d'urgence. Ce document doit être accessible depuis un téléphone.</w:t>
      </w:r>
    </w:p>
    <w:p>
      <w:pPr>
        <w:pStyle w:val="ListParagraph"/>
        <w:numPr>
          <w:ilvl w:val="0"/>
          <w:numId w:val="2"/>
        </w:numPr>
        <w:spacing w:before="40" w:after="40"/>
      </w:pPr>
      <w:r>
        <w:rPr>
          <w:color w:val="475569"/>
          <w:sz w:val="22"/>
          <w:szCs w:val="22"/>
        </w:rPr>
        <w:t xml:space="preserve">Comment réarmer manuellement le circuit breaker (resetCircuitBreakerManually) via une commande CLI.</w:t>
      </w:r>
    </w:p>
    <w:p>
      <w:pPr>
        <w:pStyle w:val="ListParagraph"/>
        <w:numPr>
          <w:ilvl w:val="0"/>
          <w:numId w:val="2"/>
        </w:numPr>
        <w:spacing w:before="40" w:after="40"/>
      </w:pPr>
      <w:r>
        <w:rPr>
          <w:color w:val="475569"/>
          <w:sz w:val="22"/>
          <w:szCs w:val="22"/>
        </w:rPr>
        <w:t xml:space="preserve">Comment fermer manuellement toutes les positions si le bot est arrêté avec des positions ouvertes.</w:t>
      </w:r>
    </w:p>
    <w:p>
      <w:pPr>
        <w:pStyle w:val="ListParagraph"/>
        <w:numPr>
          <w:ilvl w:val="0"/>
          <w:numId w:val="2"/>
        </w:numPr>
        <w:spacing w:before="40" w:after="40"/>
      </w:pPr>
      <w:r>
        <w:rPr>
          <w:color w:val="475569"/>
          <w:sz w:val="22"/>
          <w:szCs w:val="22"/>
        </w:rPr>
        <w:t xml:space="preserve">Que faire si le bot s'arrête en plein milieu d'une transaction — comment vérifier on-chain si l'ordre a été passé ou non.</w:t>
      </w:r>
    </w:p>
    <w:p>
      <w:pPr>
        <w:pStyle w:val="ListParagraph"/>
        <w:numPr>
          <w:ilvl w:val="0"/>
          <w:numId w:val="2"/>
        </w:numPr>
        <w:spacing w:before="40" w:after="40"/>
      </w:pPr>
      <w:r>
        <w:rPr>
          <w:color w:val="475569"/>
          <w:sz w:val="22"/>
          <w:szCs w:val="22"/>
        </w:rPr>
        <w:t xml:space="preserve">Comment changer le RPC en urgence si le nœud principal tombe (modifier le .env et redémarrer sans interruption de position).</w:t>
      </w:r>
    </w:p>
    <w:p>
      <w:pPr>
        <w:spacing w:before="0" w:after="0"/>
      </w:pPr>
      <w:r>
        <w:t xml:space="preserve"/>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6840"/>
        <w:gridCol w:w="1800"/>
      </w:tblGrid>
      <w:tr>
        <w:tc>
          <w:tcPr>
            <w:tcW w:type="dxa" w:w="720"/>
            <w:tcBorders>
              <w:top w:val="none" w:color="FFFFFF" w:sz="0"/>
              <w:left w:val="none" w:color="FFFFFF" w:sz="0"/>
              <w:bottom w:val="none" w:color="FFFFFF" w:sz="0"/>
              <w:right w:val="none" w:color="FFFFFF" w:sz="0"/>
            </w:tcBorders>
            <w:shd w:fill="EA580C" w:val="clear"/>
            <w:tcMar>
              <w:top w:type="dxa" w:w="80"/>
              <w:left w:type="dxa" w:w="100"/>
              <w:bottom w:type="dxa" w:w="80"/>
              <w:right w:type="dxa" w:w="100"/>
            </w:tcMar>
            <w:vAlign w:val="center"/>
          </w:tcPr>
          <w:p>
            <w:pPr>
              <w:jc w:val="center"/>
            </w:pPr>
            <w:r>
              <w:rPr>
                <w:b/>
                <w:bCs/>
                <w:color w:val="FFFFFF"/>
                <w:sz w:val="28"/>
                <w:szCs w:val="28"/>
              </w:rPr>
              <w:t xml:space="preserve">5</w:t>
            </w:r>
          </w:p>
        </w:tc>
        <w:tc>
          <w:tcPr>
            <w:tcW w:type="dxa" w:w="6840"/>
            <w:tcBorders>
              <w:top w:val="none" w:color="FFFFFF" w:sz="0"/>
              <w:left w:val="none" w:color="FFFFFF" w:sz="0"/>
              <w:bottom w:val="none" w:color="FFFFFF" w:sz="0"/>
              <w:right w:val="none" w:color="FFFFFF" w:sz="0"/>
            </w:tcBorders>
            <w:shd w:fill="EA580C" w:val="clear"/>
            <w:tcMar>
              <w:top w:type="dxa" w:w="80"/>
              <w:left w:type="dxa" w:w="200"/>
              <w:bottom w:type="dxa" w:w="80"/>
              <w:right w:type="dxa" w:w="100"/>
            </w:tcMar>
          </w:tcPr>
          <w:p>
            <w:r>
              <w:rPr>
                <w:b/>
                <w:bCs/>
                <w:color w:val="FFFFFF"/>
                <w:sz w:val="26"/>
                <w:szCs w:val="26"/>
              </w:rPr>
              <w:t xml:space="preserve">Go/No-Go mainnet</w:t>
            </w:r>
          </w:p>
        </w:tc>
        <w:tc>
          <w:tcPr>
            <w:tcW w:type="dxa" w:w="1800"/>
            <w:tcBorders>
              <w:top w:val="none" w:color="FFFFFF" w:sz="0"/>
              <w:left w:val="none" w:color="FFFFFF" w:sz="0"/>
              <w:bottom w:val="none" w:color="FFFFFF" w:sz="0"/>
              <w:right w:val="none" w:color="FFFFFF" w:sz="0"/>
            </w:tcBorders>
            <w:shd w:fill="EA580C" w:val="clear"/>
            <w:tcMar>
              <w:top w:type="dxa" w:w="80"/>
              <w:left w:type="dxa" w:w="100"/>
              <w:bottom w:type="dxa" w:w="80"/>
              <w:right w:type="dxa" w:w="120"/>
            </w:tcMar>
          </w:tcPr>
          <w:p>
            <w:pPr>
              <w:jc w:val="right"/>
            </w:pPr>
            <w:r>
              <w:rPr>
                <w:color w:val="FFFFFF"/>
                <w:sz w:val="20"/>
                <w:szCs w:val="20"/>
              </w:rPr>
              <w:t xml:space="preserve">1–2 semaines</w:t>
            </w:r>
          </w:p>
        </w:tc>
      </w:tr>
    </w:tbl>
    <w:p>
      <w:pPr>
        <w:spacing w:before="0" w:after="0"/>
      </w:pPr>
      <w:r>
        <w:t xml:space="preserve"/>
      </w:r>
    </w:p>
    <w:p>
      <w:pPr>
        <w:pStyle w:val="Heading2"/>
        <w:spacing w:before="320" w:after="120"/>
      </w:pPr>
      <w:r>
        <w:rPr>
          <w:b/>
          <w:bCs/>
          <w:color w:val="1B3A6B"/>
        </w:rPr>
        <w:t xml:space="preserve">5.1  Audit de sécurité externe</w:t>
      </w:r>
    </w:p>
    <w:p>
      <w:pPr>
        <w:spacing w:before="60" w:after="60"/>
      </w:pPr>
      <w:r>
        <w:rPr>
          <w:color w:val="475569"/>
          <w:sz w:val="22"/>
          <w:szCs w:val="22"/>
        </w:rPr>
        <w:t xml:space="preserve">Faire relire le code par quelqu'un qui n'a pas participé au développement. Un second regard repère systématiquement des choses que l'auteur ne voit plus.</w:t>
      </w:r>
    </w:p>
    <w:p>
      <w:pPr>
        <w:pStyle w:val="ListParagraph"/>
        <w:numPr>
          <w:ilvl w:val="0"/>
          <w:numId w:val="2"/>
        </w:numPr>
        <w:spacing w:before="40" w:after="40"/>
      </w:pPr>
      <w:r>
        <w:rPr>
          <w:color w:val="475569"/>
          <w:sz w:val="22"/>
          <w:szCs w:val="22"/>
        </w:rPr>
        <w:t xml:space="preserve">Focus sur keystore.ts (chiffrement), sui.ts (gestion des clés en mémoire), et liquidation.ts (conditions de fermeture forcée).</w:t>
      </w:r>
    </w:p>
    <w:p>
      <w:pPr>
        <w:pStyle w:val="ListParagraph"/>
        <w:numPr>
          <w:ilvl w:val="0"/>
          <w:numId w:val="2"/>
        </w:numPr>
        <w:spacing w:before="40" w:after="40"/>
      </w:pPr>
      <w:r>
        <w:rPr>
          <w:color w:val="475569"/>
          <w:sz w:val="22"/>
          <w:szCs w:val="22"/>
        </w:rPr>
        <w:t xml:space="preserve">Vérifier qu'aucune clé privée ou mnémonique n'est jamais sérialisé dans les logs, les métriques, ou les alertes.</w:t>
      </w:r>
    </w:p>
    <w:p>
      <w:pPr>
        <w:pStyle w:val="ListParagraph"/>
        <w:numPr>
          <w:ilvl w:val="0"/>
          <w:numId w:val="2"/>
        </w:numPr>
        <w:spacing w:before="40" w:after="40"/>
      </w:pPr>
      <w:r>
        <w:rPr>
          <w:color w:val="475569"/>
          <w:sz w:val="22"/>
          <w:szCs w:val="22"/>
        </w:rPr>
        <w:t xml:space="preserve">S'assurer que le keystore.enc ne peut pas être exfiltré accidentellement (permissions 600, absent du repo Git, absent des sauvegardes non chiffrées).</w:t>
      </w:r>
    </w:p>
    <w:p>
      <w:pPr>
        <w:spacing w:before="0" w:after="0"/>
      </w:pPr>
      <w:r>
        <w:t xml:space="preserve"/>
      </w:r>
    </w:p>
    <w:p>
      <w:pPr>
        <w:pStyle w:val="Heading2"/>
        <w:spacing w:before="320" w:after="120"/>
      </w:pPr>
      <w:r>
        <w:rPr>
          <w:b/>
          <w:bCs/>
          <w:color w:val="1B3A6B"/>
        </w:rPr>
        <w:t xml:space="preserve">5.2  Kill switch manuel</w:t>
      </w:r>
    </w:p>
    <w:p>
      <w:pPr>
        <w:spacing w:before="60" w:after="60"/>
      </w:pPr>
      <w:r>
        <w:rPr>
          <w:color w:val="475569"/>
          <w:sz w:val="22"/>
          <w:szCs w:val="22"/>
        </w:rPr>
        <w:t xml:space="preserve">C'est la procédure la plus importante à tester et à répéter. Vous devez pouvoir arrêter le bot et fermer toutes les positions en moins de 30 secondes depuis n'importe où.</w:t>
      </w:r>
    </w:p>
    <w:p>
      <w:pPr>
        <w:pStyle w:val="ListParagraph"/>
        <w:numPr>
          <w:ilvl w:val="0"/>
          <w:numId w:val="2"/>
        </w:numPr>
        <w:spacing w:before="40" w:after="40"/>
      </w:pPr>
      <w:r>
        <w:rPr>
          <w:color w:val="475569"/>
          <w:sz w:val="22"/>
          <w:szCs w:val="22"/>
        </w:rPr>
        <w:t xml:space="preserve">Implémenter une commande CLI dédiée : npm run emergency:stop qui envoie SIGTERM, attend la fermeture propre, et vérifie qu'aucune position n'est restée ouverte.</w:t>
      </w:r>
    </w:p>
    <w:p>
      <w:pPr>
        <w:pStyle w:val="ListParagraph"/>
        <w:numPr>
          <w:ilvl w:val="0"/>
          <w:numId w:val="2"/>
        </w:numPr>
        <w:spacing w:before="40" w:after="40"/>
      </w:pPr>
      <w:r>
        <w:rPr>
          <w:color w:val="475569"/>
          <w:sz w:val="22"/>
          <w:szCs w:val="22"/>
        </w:rPr>
        <w:t xml:space="preserve">Tester cette procédure en conditions réelles sur testnet au moins 3 fois, avec des positions de tailles différentes.</w:t>
      </w:r>
    </w:p>
    <w:p>
      <w:pPr>
        <w:pStyle w:val="ListParagraph"/>
        <w:numPr>
          <w:ilvl w:val="0"/>
          <w:numId w:val="2"/>
        </w:numPr>
        <w:spacing w:before="40" w:after="40"/>
      </w:pPr>
      <w:r>
        <w:rPr>
          <w:color w:val="475569"/>
          <w:sz w:val="22"/>
          <w:szCs w:val="22"/>
        </w:rPr>
        <w:t xml:space="preserve">S'assurer que la procédure fonctionne depuis un téléphone mobile (accès SSH ou webhook déclenché à distance).</w:t>
      </w:r>
    </w:p>
    <w:p>
      <w:pPr>
        <w:spacing w:before="0" w:after="0"/>
      </w:pPr>
      <w:r>
        <w:t xml:space="preserve"/>
      </w:r>
    </w:p>
    <w:p>
      <w:pPr>
        <w:pStyle w:val="Heading2"/>
        <w:spacing w:before="320" w:after="120"/>
      </w:pPr>
      <w:r>
        <w:rPr>
          <w:b/>
          <w:bCs/>
          <w:color w:val="1B3A6B"/>
        </w:rPr>
        <w:t xml:space="preserve">5.3  Montée en capital progressive</w:t>
      </w:r>
    </w:p>
    <w:p>
      <w:pPr>
        <w:spacing w:before="60" w:after="60"/>
      </w:pPr>
      <w:r>
        <w:rPr>
          <w:color w:val="475569"/>
          <w:sz w:val="22"/>
          <w:szCs w:val="22"/>
        </w:rPr>
        <w:t xml:space="preserve">Ne jamais déployer avec le capital cible dès le premier jour. Une erreur de configuration non détectée en testnet peut avoir un impact limité si le capital initial est faible.</w:t>
      </w:r>
    </w:p>
    <w:p>
      <w:pPr>
        <w:pStyle w:val="ListParagraph"/>
        <w:numPr>
          <w:ilvl w:val="0"/>
          <w:numId w:val="2"/>
        </w:numPr>
        <w:spacing w:before="40" w:after="40"/>
      </w:pPr>
      <w:r>
        <w:rPr>
          <w:color w:val="475569"/>
          <w:sz w:val="22"/>
          <w:szCs w:val="22"/>
        </w:rPr>
        <w:t xml:space="preserve">Semaine 1 : 10% du capital cible, surveillance manuelle quotidienne.</w:t>
      </w:r>
    </w:p>
    <w:p>
      <w:pPr>
        <w:pStyle w:val="ListParagraph"/>
        <w:numPr>
          <w:ilvl w:val="0"/>
          <w:numId w:val="2"/>
        </w:numPr>
        <w:spacing w:before="40" w:after="40"/>
      </w:pPr>
      <w:r>
        <w:rPr>
          <w:color w:val="475569"/>
          <w:sz w:val="22"/>
          <w:szCs w:val="22"/>
        </w:rPr>
        <w:t xml:space="preserve">Semaine 2 : 25% si aucun incident, surveillance manuelle biquotidienne.</w:t>
      </w:r>
    </w:p>
    <w:p>
      <w:pPr>
        <w:pStyle w:val="ListParagraph"/>
        <w:numPr>
          <w:ilvl w:val="0"/>
          <w:numId w:val="2"/>
        </w:numPr>
        <w:spacing w:before="40" w:after="40"/>
      </w:pPr>
      <w:r>
        <w:rPr>
          <w:color w:val="475569"/>
          <w:sz w:val="22"/>
          <w:szCs w:val="22"/>
        </w:rPr>
        <w:t xml:space="preserve">Semaine 3+ : augmentation par paliers de 25% avec des critères de stop clairs (ex: perte de plus de 2% = arrêt et audit).</w:t>
      </w:r>
    </w:p>
    <w:p>
      <w:pPr>
        <w:pStyle w:val="ListParagraph"/>
        <w:numPr>
          <w:ilvl w:val="0"/>
          <w:numId w:val="2"/>
        </w:numPr>
        <w:spacing w:before="40" w:after="40"/>
      </w:pPr>
      <w:r>
        <w:rPr>
          <w:color w:val="475569"/>
          <w:sz w:val="22"/>
          <w:szCs w:val="22"/>
        </w:rPr>
        <w:t xml:space="preserve">Ne jamais augmenter le capital après un incident sans avoir identifié et corrigé la cause racine.</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563EB" w:val="clear"/>
          </w:tcPr>
          <w:p>
            <w:r>
              <w:t xml:space="preserve"/>
            </w:r>
          </w:p>
        </w:tc>
        <w:tc>
          <w:tcPr>
            <w:tcW w:type="dxa" w:w="9000"/>
            <w:tcBorders>
              <w:top w:val="none" w:color="FFFFFF" w:sz="0"/>
              <w:left w:val="single" w:color="2563EB" w:sz="12"/>
              <w:bottom w:val="none" w:color="FFFFFF" w:sz="0"/>
              <w:right w:val="none" w:color="FFFFFF" w:sz="0"/>
            </w:tcBorders>
            <w:shd w:fill="FEF2F2" w:val="clear"/>
            <w:tcMar>
              <w:top w:type="dxa" w:w="100"/>
              <w:left w:type="dxa" w:w="200"/>
              <w:bottom w:type="dxa" w:w="100"/>
              <w:right w:type="dxa" w:w="200"/>
            </w:tcMar>
          </w:tcPr>
          <w:p>
            <w:r>
              <w:rPr>
                <w:b/>
                <w:bCs/>
                <w:color w:val="B91C1C"/>
                <w:sz w:val="22"/>
                <w:szCs w:val="22"/>
              </w:rPr>
              <w:t xml:space="preserve">📋  Critères de No-Go</w:t>
            </w:r>
          </w:p>
          <w:p>
            <w:pPr>
              <w:spacing w:before="40" w:after="0"/>
            </w:pPr>
            <w:r>
              <w:rPr>
                <w:color w:val="475569"/>
                <w:sz w:val="20"/>
                <w:szCs w:val="20"/>
              </w:rPr>
              <w:t xml:space="preserve">Refuser le passage en production si l'un des critères suivants est vrai : circuit breaker non testé en conditions réelles | fermeture d'urgence jamais exécutée on-chain | calcul du delta non validé sur données réelles | runbook opérationnel incomplet | kill switch non testé depuis mobile.</w:t>
            </w:r>
          </w:p>
        </w:tc>
      </w:tr>
    </w:tbl>
    <w:p>
      <w:pPr>
        <w:spacing w:before="0" w:after="0"/>
      </w:pPr>
      <w:r>
        <w:t xml:space="preserve"/>
      </w:r>
    </w:p>
    <w:p>
      <w:pPr>
        <w:spacing w:before="0" w:after="0"/>
      </w:pPr>
      <w:r>
        <w:t xml:space="preserve"/>
      </w:r>
    </w:p>
    <w:p>
      <w:pPr>
        <w:spacing w:before="0" w:after="0"/>
      </w:pPr>
      <w:r>
        <w:t xml:space="preserve"/>
      </w:r>
    </w:p>
    <w:p>
      <w:pPr>
        <w:pStyle w:val="Heading1"/>
        <w:spacing w:before="320" w:after="120"/>
      </w:pPr>
      <w:r>
        <w:rPr>
          <w:b/>
          <w:bCs/>
          <w:color w:val="1B3A6B"/>
        </w:rPr>
        <w:t xml:space="preserve">Conclusion</w:t>
      </w:r>
    </w:p>
    <w:p>
      <w:pPr>
        <w:spacing w:before="60" w:after="60"/>
      </w:pPr>
      <w:r>
        <w:rPr>
          <w:color w:val="475569"/>
          <w:sz w:val="22"/>
          <w:szCs w:val="22"/>
        </w:rPr>
        <w:t xml:space="preserve">Le bot dispose d'une architecture solide et de protections bien pensées. La machine à états de liquidation, le keystore chiffré, et le dryRun avant chaque transaction sont des fondations sérieuses.</w:t>
      </w:r>
    </w:p>
    <w:p>
      <w:pPr>
        <w:spacing w:before="0" w:after="0"/>
      </w:pPr>
      <w:r>
        <w:t xml:space="preserve"/>
      </w:r>
    </w:p>
    <w:p>
      <w:pPr>
        <w:spacing w:before="60" w:after="60"/>
      </w:pPr>
      <w:r>
        <w:rPr>
          <w:color w:val="475569"/>
          <w:sz w:val="22"/>
          <w:szCs w:val="22"/>
        </w:rPr>
        <w:t xml:space="preserve">Ce qui reste à faire est essentiellement de la validation et de la confiance : confiance que le code fait ce qu'il est censé faire sur le réseau réel, dans des conditions qu'aucun test unitaire ne peut pleinement simuler.</w:t>
      </w:r>
    </w:p>
    <w:p>
      <w:pPr>
        <w:spacing w:before="0" w:after="0"/>
      </w:pPr>
      <w:r>
        <w:t xml:space="preserve"/>
      </w:r>
    </w:p>
    <w:p>
      <w:pPr>
        <w:spacing w:before="60" w:after="60"/>
      </w:pPr>
      <w:r>
        <w:rPr>
          <w:color w:val="475569"/>
          <w:sz w:val="22"/>
          <w:szCs w:val="22"/>
        </w:rPr>
        <w:t xml:space="preserve">Respecter l'ordre des phases, ne pas comprimer les durées, et ne jamais sauter la validation testnet. C'est l'investissement le plus rentable que vous puissiez faire avant de confier des fonds à ce bot.</w:t>
      </w:r>
    </w:p>
    <w:p>
      <w:pPr>
        <w:spacing w:before="0" w:after="0"/>
      </w:pPr>
      <w:r>
        <w:t xml:space="preserve"/>
      </w:r>
    </w:p>
    <w:p>
      <w:pPr>
        <w:spacing w:before="0" w:after="0"/>
      </w:pPr>
      <w:r>
        <w:t xml:space="preserve"/>
      </w:r>
    </w:p>
    <w:p>
      <w:pPr>
        <w:pBdr>
          <w:top w:val="single" w:color="E2E8F0" w:sz="4" w:space="6"/>
        </w:pBdr>
        <w:spacing w:before="200" w:after="0"/>
        <w:jc w:val="center"/>
      </w:pPr>
      <w:r>
        <w:rPr>
          <w:i/>
          <w:iCs/>
          <w:color w:val="475569"/>
          <w:sz w:val="16"/>
          <w:szCs w:val="16"/>
        </w:rPr>
        <w:t xml:space="preserve">Document généré automatiquement — DeepBook Hedging Bot v3</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jc w:val="center"/>
    </w:pPr>
    <w:r>
      <w:rPr>
        <w:color w:val="475569"/>
        <w:sz w:val="16"/>
        <w:szCs w:val="16"/>
      </w:rPr>
      <w:t xml:space="preserve">Confidentiel — Usage interne</w:t>
    </w:r>
    <w:r>
      <w:rPr>
        <w:color w:val="475569"/>
        <w:sz w:val="16"/>
        <w:szCs w:val="16"/>
      </w:rPr>
      <w:t xml:space="preserve">          Page </w:t>
    </w:r>
    <w:r>
      <w:rPr>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jc w:val="right"/>
    </w:pPr>
    <w:r>
      <w:rPr>
        <w:color w:val="475569"/>
        <w:sz w:val="18"/>
        <w:szCs w:val="18"/>
      </w:rPr>
      <w:t xml:space="preserve">DeepBook Hedging Bot — Roadmap Mainnet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6B"/>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563E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2026-03-01T22:47:51.058Z</dcterms:created>
  <dcterms:modified xsi:type="dcterms:W3CDTF">2026-03-01T22:47:51.059Z</dcterms:modified>
</cp:coreProperties>
</file>

<file path=docProps/custom.xml><?xml version="1.0" encoding="utf-8"?>
<Properties xmlns="http://schemas.openxmlformats.org/officeDocument/2006/custom-properties" xmlns:vt="http://schemas.openxmlformats.org/officeDocument/2006/docPropsVTypes"/>
</file>