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40"/>
        <w:jc w:val="center"/>
      </w:pPr>
      <w:r>
        <w:rPr>
          <w:rFonts w:ascii="Helvetica" w:hAnsi="Helvetica" w:eastAsia="Helvetica" w:cs="Helvetica"/>
          <w:b/>
          <w:i w:val="0"/>
          <w:sz w:val="44"/>
        </w:rPr>
        <w:t>SOBERANÍA DE LA IA</w:t>
      </w:r>
    </w:p>
    <w:p>
      <w:pPr>
        <w:spacing w:line="360" w:lineRule="auto" w:before="0" w:after="40"/>
        <w:jc w:val="center"/>
      </w:pPr>
      <w:r>
        <w:rPr>
          <w:rFonts w:ascii="Helvetica" w:hAnsi="Helvetica" w:eastAsia="Helvetica" w:cs="Helvetica"/>
          <w:b/>
          <w:i w:val="0"/>
          <w:sz w:val="44"/>
        </w:rPr>
        <w:t>EN EDUCACIÓN</w:t>
      </w:r>
    </w:p>
    <w:p>
      <w:pPr>
        <w:spacing w:line="360" w:lineRule="auto" w:before="0" w:after="240"/>
        <w:jc w:val="both"/>
      </w:pPr>
      <w:r>
        <w:rPr>
          <w:rFonts w:ascii="Arial" w:hAnsi="Arial" w:eastAsia="Arial" w:cs="Arial"/>
          <w:b w:val="0"/>
          <w:i w:val="0"/>
          <w:sz w:val="22"/>
        </w:rPr>
      </w:r>
    </w:p>
    <w:p>
      <w:pPr>
        <w:spacing w:line="360" w:lineRule="auto" w:before="0" w:after="20"/>
        <w:jc w:val="center"/>
      </w:pPr>
      <w:r>
        <w:rPr>
          <w:rFonts w:ascii="Helvetica" w:hAnsi="Helvetica" w:eastAsia="Helvetica" w:cs="Helvetica"/>
          <w:b w:val="0"/>
          <w:i w:val="0"/>
          <w:sz w:val="24"/>
        </w:rPr>
        <w:t>Cómo China construyó autonomía</w:t>
      </w:r>
    </w:p>
    <w:p>
      <w:pPr>
        <w:spacing w:line="360" w:lineRule="auto" w:before="0" w:after="20"/>
        <w:jc w:val="center"/>
      </w:pPr>
      <w:r>
        <w:rPr>
          <w:rFonts w:ascii="Helvetica" w:hAnsi="Helvetica" w:eastAsia="Helvetica" w:cs="Helvetica"/>
          <w:b w:val="0"/>
          <w:i w:val="0"/>
          <w:sz w:val="24"/>
        </w:rPr>
        <w:t>tecnológica mediante políticas</w:t>
      </w:r>
    </w:p>
    <w:p>
      <w:pPr>
        <w:spacing w:line="360" w:lineRule="auto" w:before="0" w:after="20"/>
        <w:jc w:val="center"/>
      </w:pPr>
      <w:r>
        <w:rPr>
          <w:rFonts w:ascii="Helvetica" w:hAnsi="Helvetica" w:eastAsia="Helvetica" w:cs="Helvetica"/>
          <w:b w:val="0"/>
          <w:i w:val="0"/>
          <w:sz w:val="24"/>
        </w:rPr>
        <w:t>públicas, en contraste con la</w:t>
      </w:r>
    </w:p>
    <w:p>
      <w:pPr>
        <w:spacing w:line="360" w:lineRule="auto" w:before="0" w:after="20"/>
        <w:jc w:val="center"/>
      </w:pPr>
      <w:r>
        <w:rPr>
          <w:rFonts w:ascii="Helvetica" w:hAnsi="Helvetica" w:eastAsia="Helvetica" w:cs="Helvetica"/>
          <w:b w:val="0"/>
          <w:i w:val="0"/>
          <w:sz w:val="24"/>
        </w:rPr>
        <w:t>dependencia de América Latina</w:t>
      </w:r>
    </w:p>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360"/>
        <w:jc w:val="both"/>
      </w:pPr>
      <w:r>
        <w:rPr>
          <w:rFonts w:ascii="Arial" w:hAnsi="Arial" w:eastAsia="Arial" w:cs="Arial"/>
          <w:b w:val="0"/>
          <w:i w:val="0"/>
          <w:sz w:val="22"/>
        </w:rPr>
      </w:r>
    </w:p>
    <w:p>
      <w:pPr>
        <w:spacing w:line="360" w:lineRule="auto" w:before="0" w:after="40"/>
        <w:jc w:val="right"/>
      </w:pPr>
      <w:r>
        <w:rPr>
          <w:rFonts w:ascii="Helvetica" w:hAnsi="Helvetica" w:eastAsia="Helvetica" w:cs="Helvetica"/>
          <w:b/>
          <w:i w:val="0"/>
          <w:sz w:val="20"/>
        </w:rPr>
        <w:t>Hesus García Cobos</w:t>
      </w:r>
    </w:p>
    <w:p>
      <w:pPr>
        <w:spacing w:line="360" w:lineRule="auto" w:before="0" w:after="40"/>
        <w:jc w:val="right"/>
      </w:pPr>
      <w:r>
        <w:rPr>
          <w:rFonts w:ascii="Helvetica" w:hAnsi="Helvetica" w:eastAsia="Helvetica" w:cs="Helvetica"/>
          <w:b w:val="0"/>
          <w:i w:val="0"/>
          <w:sz w:val="20"/>
        </w:rPr>
        <w:t>Programa de Invierno INFOTEC</w:t>
      </w:r>
    </w:p>
    <w:p>
      <w:pPr>
        <w:spacing w:line="360" w:lineRule="auto" w:before="0" w:after="40"/>
        <w:jc w:val="right"/>
      </w:pPr>
      <w:r>
        <w:rPr>
          <w:rFonts w:ascii="Helvetica" w:hAnsi="Helvetica" w:eastAsia="Helvetica" w:cs="Helvetica"/>
          <w:b w:val="0"/>
          <w:i w:val="0"/>
          <w:sz w:val="20"/>
        </w:rPr>
      </w:r>
    </w:p>
    <w:p>
      <w:pPr>
        <w:spacing w:line="360" w:lineRule="auto" w:before="0" w:after="40"/>
        <w:jc w:val="right"/>
      </w:pPr>
      <w:r>
        <w:rPr>
          <w:rFonts w:ascii="Helvetica" w:hAnsi="Helvetica" w:eastAsia="Helvetica" w:cs="Helvetica"/>
          <w:b w:val="0"/>
          <w:i w:val="0"/>
          <w:sz w:val="20"/>
        </w:rPr>
        <w:t>Responsables de la materia:</w:t>
      </w:r>
    </w:p>
    <w:p>
      <w:pPr>
        <w:spacing w:line="360" w:lineRule="auto" w:before="0" w:after="40"/>
        <w:jc w:val="right"/>
      </w:pPr>
      <w:r>
        <w:rPr>
          <w:rFonts w:ascii="Helvetica" w:hAnsi="Helvetica" w:eastAsia="Helvetica" w:cs="Helvetica"/>
          <w:b w:val="0"/>
          <w:i w:val="0"/>
          <w:sz w:val="20"/>
        </w:rPr>
        <w:t>Paulina Elisa Lagunes Navarro</w:t>
      </w:r>
    </w:p>
    <w:p>
      <w:pPr>
        <w:spacing w:line="360" w:lineRule="auto" w:before="0" w:after="40"/>
        <w:jc w:val="right"/>
      </w:pPr>
      <w:r>
        <w:rPr>
          <w:rFonts w:ascii="Helvetica" w:hAnsi="Helvetica" w:eastAsia="Helvetica" w:cs="Helvetica"/>
          <w:b w:val="0"/>
          <w:i w:val="0"/>
          <w:sz w:val="20"/>
        </w:rPr>
        <w:t>María Beatriz Juárez Aguilar</w:t>
      </w:r>
    </w:p>
    <w:p>
      <w:pPr>
        <w:spacing w:line="360" w:lineRule="auto" w:before="0" w:after="40"/>
        <w:jc w:val="right"/>
      </w:pPr>
      <w:r>
        <w:rPr>
          <w:rFonts w:ascii="Helvetica" w:hAnsi="Helvetica" w:eastAsia="Helvetica" w:cs="Helvetica"/>
          <w:b w:val="0"/>
          <w:i w:val="0"/>
          <w:sz w:val="20"/>
        </w:rPr>
      </w:r>
    </w:p>
    <w:p>
      <w:pPr>
        <w:spacing w:line="360" w:lineRule="auto" w:before="0" w:after="40"/>
        <w:jc w:val="right"/>
      </w:pPr>
      <w:r>
        <w:rPr>
          <w:rFonts w:ascii="Helvetica" w:hAnsi="Helvetica" w:eastAsia="Helvetica" w:cs="Helvetica"/>
          <w:b w:val="0"/>
          <w:i w:val="0"/>
          <w:sz w:val="20"/>
        </w:rPr>
        <w:t>Abril 2026</w:t>
      </w:r>
    </w:p>
    <w:p>
      <w:r>
        <w:br w:type="page"/>
      </w:r>
    </w:p>
    <w:p>
      <w:pPr>
        <w:sectPr>
          <w:pgSz w:w="12240" w:h="15840"/>
          <w:pgMar w:top="1417" w:right="1701" w:bottom="1417" w:left="1701" w:header="720" w:footer="720" w:gutter="0"/>
          <w:cols w:space="720"/>
          <w:docGrid w:linePitch="360"/>
        </w:sectPr>
      </w:pPr>
    </w:p>
    <w:p>
      <w:pPr>
        <w:spacing w:line="360" w:lineRule="auto" w:before="0" w:after="120"/>
        <w:jc w:val="left"/>
      </w:pPr>
      <w:r>
        <w:rPr>
          <w:rFonts w:ascii="Arial" w:hAnsi="Arial" w:eastAsia="Arial" w:cs="Arial"/>
          <w:b/>
          <w:i w:val="0"/>
          <w:sz w:val="22"/>
        </w:rPr>
        <w:t>SOBERANÍA DE LA IA EN EDUCACIÓN: CÓMO CHINA CONSTRUYÓ AUTONOMÍA TECNOLÓGICA MEDIANTE POLÍTICAS PÚBLICAS, EN CONTRASTE CON LA DEPENDENCIA DE AMÉRICA LATINA</w:t>
      </w:r>
    </w:p>
    <w:p>
      <w:pPr>
        <w:spacing w:line="360" w:lineRule="auto" w:before="0" w:after="360"/>
        <w:jc w:val="left"/>
      </w:pPr>
      <w:r>
        <w:rPr>
          <w:rFonts w:ascii="Arial" w:hAnsi="Arial" w:eastAsia="Arial" w:cs="Arial"/>
          <w:b w:val="0"/>
          <w:i w:val="0"/>
          <w:sz w:val="22"/>
        </w:rPr>
        <w:t>Hesus García Cobos</w:t>
      </w:r>
    </w:p>
    <w:p>
      <w:pPr>
        <w:spacing w:line="360" w:lineRule="auto" w:before="240" w:after="120"/>
        <w:jc w:val="left"/>
      </w:pPr>
      <w:r>
        <w:rPr>
          <w:rFonts w:ascii="Arial" w:hAnsi="Arial" w:eastAsia="Arial" w:cs="Arial"/>
          <w:b/>
          <w:i w:val="0"/>
          <w:sz w:val="22"/>
        </w:rPr>
        <w:t>Introducción</w:t>
      </w:r>
    </w:p>
    <w:p>
      <w:pPr>
        <w:spacing w:line="360" w:lineRule="auto" w:before="0" w:after="120"/>
        <w:jc w:val="both"/>
      </w:pPr>
      <w:r>
        <w:rPr>
          <w:rFonts w:ascii="Arial" w:hAnsi="Arial" w:eastAsia="Arial" w:cs="Arial"/>
          <w:b w:val="0"/>
          <w:i w:val="0"/>
          <w:sz w:val="22"/>
        </w:rPr>
        <w:t>En 2017, China no tenía un solo curso obligatorio de inteligencia artificial en educación básica. Para septiembre de 2025, todas las escuelas primarias y secundarias del país ofrecen mínimo 8 horas anuales de instrucción en IA (教育部 [Educación Básica], 2024). En menos de ocho años, un sistema educativo con más de 200 millones de estudiantes pasó de no tener currículo de IA a tener uno obligatorio, diseñado internamente y operado con plataformas propias. América Latina, mientras tanto, ni siquiera aparece como categoría independiente en las tablas globales de inversión en IA: su participación es inferior al 1% del total mundial (Stanford HAI, 2024). La pregunta no es solo por qué China avanzó tan rápido, sino qué significa para América Latina no haber empezado. Este ensayo examina cómo China construyó soberanía tecnológica en educación mediante una cadena deliberada de políticas públicas, y qué implica la ausencia de una estrategia equivalente en la región latinoamericana.</w:t>
      </w:r>
    </w:p>
    <w:p>
      <w:pPr>
        <w:spacing w:line="360" w:lineRule="auto" w:before="240" w:after="120"/>
        <w:jc w:val="left"/>
      </w:pPr>
      <w:r>
        <w:rPr>
          <w:rFonts w:ascii="Arial" w:hAnsi="Arial" w:eastAsia="Arial" w:cs="Arial"/>
          <w:b/>
          <w:i w:val="0"/>
          <w:sz w:val="22"/>
        </w:rPr>
        <w:t>Desarrollo</w:t>
      </w:r>
    </w:p>
    <w:p>
      <w:pPr>
        <w:spacing w:line="360" w:lineRule="auto" w:before="0" w:after="120"/>
        <w:jc w:val="left"/>
      </w:pPr>
      <w:r>
        <w:rPr>
          <w:rFonts w:ascii="Arial" w:hAnsi="Arial" w:eastAsia="Arial" w:cs="Arial"/>
          <w:b/>
          <w:i w:val="0"/>
          <w:sz w:val="22"/>
        </w:rPr>
        <w:t>La cadena de políticas: del plan al aula</w:t>
      </w:r>
    </w:p>
    <w:p>
      <w:pPr>
        <w:spacing w:line="360" w:lineRule="auto" w:before="0" w:after="120"/>
        <w:jc w:val="both"/>
      </w:pPr>
      <w:r>
        <w:rPr>
          <w:rFonts w:ascii="Arial" w:hAnsi="Arial" w:eastAsia="Arial" w:cs="Arial"/>
          <w:b w:val="0"/>
          <w:i w:val="0"/>
          <w:sz w:val="22"/>
        </w:rPr>
        <w:t>La soberanía educativa china en IA no fue accidente. Fue el resultado de una secuencia de políticas conectadas entre sí, cada una construyendo sobre la anterior. El primer eslabón fue el Plan de Desarrollo de Inteligencia Artificial de Nueva Generación de 2017, emitido por el Consejo de Estado. El plan fijó metas económicas concretas — 150 mil millones de yuanes para 2020, 400 mil millones para 2025, un billón para 2030 — y ordenó integrar la IA como disciplina universitaria y establecer cursos desde primaria (国务院, 2017). Un año después, el Ministerio de Educación tradujo ese mandato en acción concreta para educación superior: programas interdisciplinarios "IA+X", ampliación de doctorados en IA y la meta de convertir a China en centro líder de investigación para 2030 (教育部 [Educación Superior], 2018).</w:t>
      </w:r>
    </w:p>
    <w:p>
      <w:pPr>
        <w:spacing w:line="360" w:lineRule="auto" w:before="0" w:after="120"/>
        <w:jc w:val="both"/>
      </w:pPr>
      <w:r>
        <w:rPr>
          <w:rFonts w:ascii="Arial" w:hAnsi="Arial" w:eastAsia="Arial" w:cs="Arial"/>
          <w:b w:val="0"/>
          <w:i w:val="0"/>
          <w:sz w:val="22"/>
        </w:rPr>
        <w:t>En diciembre de 2024 llegó el siguiente eslabón: la Guía para la Educación en IA en Primaria y Secundaria, que organizó la enseñanza por niveles, la integró dentro de asignaturas existentes, designó 184 escuelas piloto y fijó la obligatoriedad de 8 horas anuales a partir de septiembre de 2025 (教育部 [Educación Básica], 2024). En abril de 2025, un documento co-firmado por 10 dependencias gubernamentales consolidó la plataforma Smart Education como infraestructura nacional (教育部等十部门, 2025).</w:t>
      </w:r>
    </w:p>
    <w:p>
      <w:pPr>
        <w:spacing w:line="360" w:lineRule="auto" w:before="0" w:after="120"/>
        <w:jc w:val="left"/>
      </w:pPr>
      <w:r>
        <w:rPr>
          <w:rFonts w:ascii="Arial" w:hAnsi="Arial" w:eastAsia="Arial" w:cs="Arial"/>
          <w:b/>
          <w:i w:val="0"/>
          <w:sz w:val="22"/>
        </w:rPr>
        <w:t>Los números de la soberanía</w:t>
      </w:r>
    </w:p>
    <w:p>
      <w:pPr>
        <w:spacing w:line="360" w:lineRule="auto" w:before="0" w:after="120"/>
        <w:jc w:val="both"/>
      </w:pPr>
      <w:r>
        <w:rPr>
          <w:rFonts w:ascii="Arial" w:hAnsi="Arial" w:eastAsia="Arial" w:cs="Arial"/>
          <w:b w:val="0"/>
          <w:i w:val="0"/>
          <w:sz w:val="22"/>
        </w:rPr>
        <w:t>La infraestructura china no es solo normativa. China concentra aproximadamente el 61% de las patentes globales de IA —por volumen de solicitudes— y alrededor del 40% de las publicaciones científicas en el área (Stanford HAI, 2024). Estos números significan que China no solo enseña IA: produce la tecnología que enseña.</w:t>
      </w:r>
    </w:p>
    <w:p>
      <w:pPr>
        <w:spacing w:line="360" w:lineRule="auto" w:before="0" w:after="120"/>
        <w:jc w:val="left"/>
      </w:pPr>
      <w:r>
        <w:rPr>
          <w:rFonts w:ascii="Arial" w:hAnsi="Arial" w:eastAsia="Arial" w:cs="Arial"/>
          <w:b/>
          <w:i w:val="0"/>
          <w:sz w:val="22"/>
        </w:rPr>
        <w:t>América Latina: dependencia estructural</w:t>
      </w:r>
    </w:p>
    <w:p>
      <w:pPr>
        <w:spacing w:line="360" w:lineRule="auto" w:before="0" w:after="120"/>
        <w:jc w:val="both"/>
      </w:pPr>
      <w:r>
        <w:rPr>
          <w:rFonts w:ascii="Arial" w:hAnsi="Arial" w:eastAsia="Arial" w:cs="Arial"/>
          <w:b w:val="0"/>
          <w:i w:val="0"/>
          <w:sz w:val="22"/>
        </w:rPr>
        <w:t>La posición de América Latina es la opuesta — y el rezago se profundiza cada año. Los datos más recientes lo confirman: en 2024, la inversión global en IA alcanzó los 150 mil millones de dólares, de los cuales Estados Unidos concentró 109 mil millones y China 15 mil millones en franca recuperación (Stanford HAI, 2025). América Latina no aparece. No es una brecha; es invisibilidad.</w:t>
      </w:r>
    </w:p>
    <w:p>
      <w:pPr>
        <w:spacing w:line="360" w:lineRule="auto" w:before="0" w:after="120"/>
        <w:jc w:val="both"/>
      </w:pPr>
      <w:r>
        <w:rPr>
          <w:rFonts w:ascii="Arial" w:hAnsi="Arial" w:eastAsia="Arial" w:cs="Arial"/>
          <w:b w:val="0"/>
          <w:i w:val="0"/>
          <w:sz w:val="22"/>
        </w:rPr>
        <w:t>La dependencia va más allá del dinero. Las herramientas de IA que se importan a aulas latinoamericanas no reconocen las lenguas del propio continente. Según los hallazgos de AmericasNLP, lenguas indígenas americanas como el quechua, el náhuatl, el guaraní, el maya y el aymara son funcionalmente invisibles para los modelos de lenguaje: los sistemas no pueden generar texto coherente ni traducir en estas lenguas con precisión aceptable (AmericasNLP, 2025). Esto no es una limitación técnica menor. Es borrado epistémico. Se adoptan herramientas que ignoran la diversidad lingüística y cultural de la región, y se les entrega el control de la experiencia educativa.</w:t>
      </w:r>
    </w:p>
    <w:p>
      <w:pPr>
        <w:spacing w:line="360" w:lineRule="auto" w:before="0" w:after="120"/>
        <w:jc w:val="both"/>
      </w:pPr>
      <w:r>
        <w:rPr>
          <w:rFonts w:ascii="Arial" w:hAnsi="Arial" w:eastAsia="Arial" w:cs="Arial"/>
          <w:b w:val="0"/>
          <w:i w:val="0"/>
          <w:sz w:val="22"/>
        </w:rPr>
        <w:t>México, la segunda economía de la región, no cuenta con una estrategia nacional de IA (Stanford HAI, 2024). Las universidades que integran IA lo hacen con herramientas controladas por empresas extranjeras — modelos cuyo comportamiento, datos de entrenamiento y sesgos no son auditables localmente. China define su propio currículo, selecciona las herramientas y forma a los docentes dentro de un marco propio. En América Latina, el currículo de IA — cuando existe — se importa. Las plataformas se rentan. Los datos de los estudiantes se procesan en servidores fuera de jurisdicción local. Lo que ocurre no es adopción tecnológica: es colonización pedagógica.</w:t>
      </w:r>
    </w:p>
    <w:p>
      <w:pPr>
        <w:spacing w:line="360" w:lineRule="auto" w:before="240" w:after="120"/>
        <w:jc w:val="left"/>
      </w:pPr>
      <w:r>
        <w:rPr>
          <w:rFonts w:ascii="Arial" w:hAnsi="Arial" w:eastAsia="Arial" w:cs="Arial"/>
          <w:b/>
          <w:i w:val="0"/>
          <w:sz w:val="22"/>
        </w:rPr>
        <w:t>Conclusión</w:t>
      </w:r>
    </w:p>
    <w:p>
      <w:pPr>
        <w:spacing w:line="360" w:lineRule="auto" w:before="0" w:after="120"/>
        <w:jc w:val="both"/>
      </w:pPr>
      <w:r>
        <w:rPr>
          <w:rFonts w:ascii="Arial" w:hAnsi="Arial" w:eastAsia="Arial" w:cs="Arial"/>
          <w:b w:val="0"/>
          <w:i w:val="0"/>
          <w:sz w:val="22"/>
        </w:rPr>
        <w:t>La lección del caso chino no es que América Latina deba copiar su modelo. Las condiciones políticas, económicas y de escala son distintas. La lección es que sin política pública deliberada y coordinada, un sistema educativo se convierte en consumidor permanente de tecnología ajena. Incluso LatamGPT, la iniciativa regional más ambiciosa hasta la fecha, enfrenta dificultades frente a las realidades del mercado global y las necesidades de preservación de lenguas indígenas que los proveedores comerciales ignoran (Rivero, 2026). Si el proyecto más visible de la región lucha por sostenerse, las iniciativas aisladas de universidades o ministerios individuales no van a cerrar la distancia. China demostró que construir soberanía requiere coordinación entre ministerios, planificación a largo plazo con metas medibles y la decisión de tratar la educación en IA como estrategia de Estado. Ocho años de políticas encadenadas produjeron un sistema donde el país que enseña IA también la produce. América Latina, sin esa cadena, queda en posición de usuario final. Esto no es una observación académica: es una advertencia. La soberanía tecnológica en educación no se compra. Se construye con política pública, o no se construye.</w:t>
      </w:r>
    </w:p>
    <w:p>
      <w:pPr>
        <w:spacing w:line="360" w:lineRule="auto" w:before="240" w:after="120"/>
        <w:jc w:val="left"/>
      </w:pPr>
      <w:r>
        <w:rPr>
          <w:rFonts w:ascii="Arial" w:hAnsi="Arial" w:eastAsia="Arial" w:cs="Arial"/>
          <w:b/>
          <w:i w:val="0"/>
          <w:sz w:val="22"/>
        </w:rPr>
        <w:t>Bibliografía</w:t>
      </w:r>
    </w:p>
    <w:p>
      <w:pPr>
        <w:spacing w:line="360" w:lineRule="auto" w:before="0" w:after="160"/>
        <w:ind w:hanging="720" w:left="720"/>
        <w:jc w:val="left"/>
      </w:pPr>
      <w:r>
        <w:rPr>
          <w:rFonts w:ascii="Arial" w:hAnsi="Arial" w:eastAsia="Arial" w:cs="Arial"/>
          <w:b w:val="0"/>
          <w:i w:val="0"/>
          <w:sz w:val="22"/>
        </w:rPr>
        <w:t>AmericasNLP. (2025). Findings of the Shared Tasks on Machine Translation. https://researchportal.helsinki.fi/files/801721485/2025.americasnlp-1.16.pdf</w:t>
      </w:r>
    </w:p>
    <w:p>
      <w:pPr>
        <w:spacing w:line="360" w:lineRule="auto" w:before="0" w:after="160"/>
        <w:ind w:hanging="720" w:left="720"/>
        <w:jc w:val="left"/>
      </w:pPr>
      <w:r>
        <w:rPr>
          <w:rFonts w:ascii="Arial" w:hAnsi="Arial" w:eastAsia="Arial" w:cs="Arial"/>
          <w:b w:val="0"/>
          <w:i w:val="0"/>
          <w:sz w:val="22"/>
        </w:rPr>
        <w:t>国务院 [Consejo de Estado]. (2017). 国务院关于印发新一代人工智能发展规划的通知 [Plan de desarrollo de inteligencia artificial de nueva generación]. https://www.gov.cn/zhengce/content/2017-07/20/content_5211996.htm</w:t>
      </w:r>
    </w:p>
    <w:p>
      <w:pPr>
        <w:spacing w:line="360" w:lineRule="auto" w:before="0" w:after="160"/>
        <w:ind w:hanging="720" w:left="720"/>
        <w:jc w:val="left"/>
      </w:pPr>
      <w:r>
        <w:rPr>
          <w:rFonts w:ascii="Arial" w:hAnsi="Arial" w:eastAsia="Arial" w:cs="Arial"/>
          <w:b w:val="0"/>
          <w:i w:val="0"/>
          <w:sz w:val="22"/>
        </w:rPr>
        <w:t>教育部 [Ministerio de Educación]. (2018). 高等学校人工智能创新行动计划 [Plan de acción para la innovación en IA en educación superior]. https://www.moe.gov.cn/srcsite/A16/s7062/201804/t20180410_332722.html</w:t>
      </w:r>
    </w:p>
    <w:p>
      <w:pPr>
        <w:spacing w:line="360" w:lineRule="auto" w:before="0" w:after="160"/>
        <w:ind w:hanging="720" w:left="720"/>
        <w:jc w:val="left"/>
      </w:pPr>
      <w:r>
        <w:rPr>
          <w:rFonts w:ascii="Arial" w:hAnsi="Arial" w:eastAsia="Arial" w:cs="Arial"/>
          <w:b w:val="0"/>
          <w:i w:val="0"/>
          <w:sz w:val="22"/>
        </w:rPr>
        <w:t>教育部 [Ministerio de Educación]. (2024). 教育部办公厅关于加强中小学人工智能教育的通知 [Guía para la educación en IA en primaria y secundaria]. http://www.moe.gov.cn/jyb_xwfb/gzdt_gzdt/s5987/202412/t20241202_1165500.html</w:t>
      </w:r>
    </w:p>
    <w:p>
      <w:pPr>
        <w:spacing w:line="360" w:lineRule="auto" w:before="0" w:after="160"/>
        <w:ind w:hanging="720" w:left="720"/>
        <w:jc w:val="left"/>
      </w:pPr>
      <w:r>
        <w:rPr>
          <w:rFonts w:ascii="Arial" w:hAnsi="Arial" w:eastAsia="Arial" w:cs="Arial"/>
          <w:b w:val="0"/>
          <w:i w:val="0"/>
          <w:sz w:val="22"/>
        </w:rPr>
        <w:t>教育部等十部门 [Ministerio de Educación y otros 9 ministerios]. (2025). Accelerating Education Digitalization [Aceleración de la digitalización educativa]. https://www.moe.gov.cn/srcsite/A01/s7048/202504/t20250416_1187476.html</w:t>
      </w:r>
    </w:p>
    <w:p>
      <w:pPr>
        <w:spacing w:line="360" w:lineRule="auto" w:before="0" w:after="160"/>
        <w:ind w:hanging="720" w:left="720"/>
        <w:jc w:val="left"/>
      </w:pPr>
      <w:r>
        <w:rPr>
          <w:rFonts w:ascii="Arial" w:hAnsi="Arial" w:eastAsia="Arial" w:cs="Arial"/>
          <w:b w:val="0"/>
          <w:i w:val="0"/>
          <w:sz w:val="22"/>
        </w:rPr>
        <w:t xml:space="preserve">Rivero, L. (2026). LatamGPT navigates the gap between regional aspiration and market realities. </w:t>
      </w:r>
      <w:r>
        <w:rPr>
          <w:rFonts w:ascii="Arial" w:hAnsi="Arial" w:eastAsia="Arial" w:cs="Arial"/>
          <w:b w:val="0"/>
          <w:i/>
          <w:sz w:val="22"/>
        </w:rPr>
        <w:t>techpolicy.press</w:t>
      </w:r>
      <w:r>
        <w:rPr>
          <w:rFonts w:ascii="Arial" w:hAnsi="Arial" w:eastAsia="Arial" w:cs="Arial"/>
          <w:b w:val="0"/>
          <w:i w:val="0"/>
          <w:sz w:val="22"/>
        </w:rPr>
        <w:t>. https://www.techpolicy.press/latamgpt-navigates-the-gap-between-regional-aspiration-and-market-realities/</w:t>
      </w:r>
    </w:p>
    <w:p>
      <w:pPr>
        <w:spacing w:line="360" w:lineRule="auto" w:before="0" w:after="160"/>
        <w:ind w:hanging="720" w:left="720"/>
        <w:jc w:val="left"/>
      </w:pPr>
      <w:r>
        <w:rPr>
          <w:rFonts w:ascii="Arial" w:hAnsi="Arial" w:eastAsia="Arial" w:cs="Arial"/>
          <w:b w:val="0"/>
          <w:i w:val="0"/>
          <w:sz w:val="22"/>
        </w:rPr>
        <w:t xml:space="preserve">Stanford HAI. (2024). </w:t>
      </w:r>
      <w:r>
        <w:rPr>
          <w:rFonts w:ascii="Arial" w:hAnsi="Arial" w:eastAsia="Arial" w:cs="Arial"/>
          <w:b w:val="0"/>
          <w:i/>
          <w:sz w:val="22"/>
        </w:rPr>
        <w:t>Artificial Intelligence Index Report 2024</w:t>
      </w:r>
      <w:r>
        <w:rPr>
          <w:rFonts w:ascii="Arial" w:hAnsi="Arial" w:eastAsia="Arial" w:cs="Arial"/>
          <w:b w:val="0"/>
          <w:i w:val="0"/>
          <w:sz w:val="22"/>
        </w:rPr>
        <w:t>. Stanford University. https://aiindex.stanford.edu/report/</w:t>
      </w:r>
    </w:p>
    <w:p>
      <w:pPr>
        <w:spacing w:line="360" w:lineRule="auto" w:before="0" w:after="160"/>
        <w:ind w:hanging="720" w:left="720"/>
        <w:jc w:val="left"/>
      </w:pPr>
      <w:r>
        <w:rPr>
          <w:rFonts w:ascii="Arial" w:hAnsi="Arial" w:eastAsia="Arial" w:cs="Arial"/>
          <w:b w:val="0"/>
          <w:i w:val="0"/>
          <w:sz w:val="22"/>
        </w:rPr>
        <w:t xml:space="preserve">Stanford HAI. (2025). </w:t>
      </w:r>
      <w:r>
        <w:rPr>
          <w:rFonts w:ascii="Arial" w:hAnsi="Arial" w:eastAsia="Arial" w:cs="Arial"/>
          <w:b w:val="0"/>
          <w:i/>
          <w:sz w:val="22"/>
        </w:rPr>
        <w:t>Artificial Intelligence Index Report 2025</w:t>
      </w:r>
      <w:r>
        <w:rPr>
          <w:rFonts w:ascii="Arial" w:hAnsi="Arial" w:eastAsia="Arial" w:cs="Arial"/>
          <w:b w:val="0"/>
          <w:i w:val="0"/>
          <w:sz w:val="22"/>
        </w:rPr>
        <w:t>. Stanford University. https://aiindex.stanford.edu/report/</w:t>
      </w: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r>
    <w:r>
      <w:rPr>
        <w:rFonts w:ascii="Arial" w:hAnsi="Arial"/>
        <w:sz w:val="18"/>
      </w:rPr>
      <w:instrText xml:space="preserve"> PAGE </w:instrText>
    </w:r>
    <w:r>
      <w:rPr>
        <w:rFonts w:ascii="Arial" w:hAnsi="Arial"/>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