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480"/>
        <w:jc w:val="both"/>
      </w:pPr>
      <w:r>
        <w:rPr>
          <w:rFonts w:ascii="Arial" w:hAnsi="Arial" w:eastAsia="Arial" w:cs="Arial"/>
          <w:b w:val="0"/>
          <w:i w:val="0"/>
          <w:sz w:val="22"/>
        </w:rPr>
      </w:r>
    </w:p>
    <w:p>
      <w:pPr>
        <w:spacing w:line="360" w:lineRule="auto" w:before="0" w:after="480"/>
        <w:jc w:val="both"/>
      </w:pPr>
      <w:r>
        <w:rPr>
          <w:rFonts w:ascii="Arial" w:hAnsi="Arial" w:eastAsia="Arial" w:cs="Arial"/>
          <w:b w:val="0"/>
          <w:i w:val="0"/>
          <w:sz w:val="22"/>
        </w:rPr>
      </w:r>
    </w:p>
    <w:p>
      <w:pPr>
        <w:spacing w:line="360" w:lineRule="auto" w:before="0" w:after="480"/>
        <w:jc w:val="both"/>
      </w:pPr>
      <w:r>
        <w:rPr>
          <w:rFonts w:ascii="Arial" w:hAnsi="Arial" w:eastAsia="Arial" w:cs="Arial"/>
          <w:b w:val="0"/>
          <w:i w:val="0"/>
          <w:sz w:val="22"/>
        </w:rPr>
      </w:r>
    </w:p>
    <w:p>
      <w:pPr>
        <w:spacing w:line="360" w:lineRule="auto" w:before="0" w:after="480"/>
        <w:jc w:val="both"/>
      </w:pPr>
      <w:r>
        <w:rPr>
          <w:rFonts w:ascii="Arial" w:hAnsi="Arial" w:eastAsia="Arial" w:cs="Arial"/>
          <w:b w:val="0"/>
          <w:i w:val="0"/>
          <w:sz w:val="22"/>
        </w:rPr>
      </w:r>
    </w:p>
    <w:p>
      <w:pPr>
        <w:spacing w:line="360" w:lineRule="auto" w:before="0" w:after="480"/>
        <w:jc w:val="both"/>
      </w:pPr>
      <w:r>
        <w:rPr>
          <w:rFonts w:ascii="Arial" w:hAnsi="Arial" w:eastAsia="Arial" w:cs="Arial"/>
          <w:b w:val="0"/>
          <w:i w:val="0"/>
          <w:sz w:val="22"/>
        </w:rPr>
      </w:r>
    </w:p>
    <w:p>
      <w:pPr>
        <w:spacing w:line="360" w:lineRule="auto" w:before="0" w:after="480"/>
        <w:jc w:val="center"/>
      </w:pPr>
      <w:r>
        <w:rPr>
          <w:rFonts w:ascii="Arial" w:hAnsi="Arial" w:eastAsia="Arial" w:cs="Arial"/>
          <w:b/>
          <w:i w:val="0"/>
          <w:sz w:val="22"/>
        </w:rPr>
        <w:t>QUIÉN DEFINE QUÉ SIGNIFICA SABER INGLÉS: EL ESTÁNDAR CSE Y LA SOBERANÍA LINGÜÍSTICA DE CHINA</w:t>
      </w:r>
    </w:p>
    <w:p>
      <w:pPr>
        <w:spacing w:line="360" w:lineRule="auto" w:before="0" w:after="480"/>
        <w:jc w:val="center"/>
      </w:pPr>
      <w:r>
        <w:rPr>
          <w:rFonts w:ascii="Arial" w:hAnsi="Arial" w:eastAsia="Arial" w:cs="Arial"/>
          <w:b w:val="0"/>
          <w:i w:val="0"/>
          <w:sz w:val="22"/>
        </w:rPr>
        <w:t>Gaby Gomez</w:t>
      </w:r>
    </w:p>
    <w:p>
      <w:pPr>
        <w:spacing w:line="360" w:lineRule="auto" w:before="0" w:after="120"/>
        <w:jc w:val="center"/>
      </w:pPr>
      <w:r>
        <w:rPr>
          <w:rFonts w:ascii="Arial" w:hAnsi="Arial" w:eastAsia="Arial" w:cs="Arial"/>
          <w:b w:val="0"/>
          <w:i w:val="0"/>
          <w:sz w:val="22"/>
        </w:rPr>
        <w:t>Políticas Públicas en Educación</w:t>
      </w:r>
    </w:p>
    <w:p>
      <w:pPr>
        <w:spacing w:line="360" w:lineRule="auto" w:before="0" w:after="360"/>
        <w:jc w:val="center"/>
      </w:pPr>
      <w:r>
        <w:rPr>
          <w:rFonts w:ascii="Arial" w:hAnsi="Arial" w:eastAsia="Arial" w:cs="Arial"/>
          <w:b w:val="0"/>
          <w:i w:val="0"/>
          <w:sz w:val="22"/>
        </w:rPr>
        <w:t>Programa de Invierno INFOTEC</w:t>
      </w:r>
    </w:p>
    <w:p>
      <w:pPr>
        <w:spacing w:line="360" w:lineRule="auto" w:before="0" w:after="360"/>
        <w:jc w:val="center"/>
      </w:pPr>
      <w:r>
        <w:rPr>
          <w:rFonts w:ascii="Arial" w:hAnsi="Arial" w:eastAsia="Arial" w:cs="Arial"/>
          <w:b w:val="0"/>
          <w:i w:val="0"/>
          <w:sz w:val="22"/>
        </w:rPr>
        <w:t>Profesora: María Beatriz Juárez Aguilar</w:t>
      </w:r>
    </w:p>
    <w:p>
      <w:pPr>
        <w:spacing w:line="360" w:lineRule="auto" w:before="0" w:after="120"/>
        <w:jc w:val="center"/>
      </w:pPr>
      <w:r>
        <w:rPr>
          <w:rFonts w:ascii="Arial" w:hAnsi="Arial" w:eastAsia="Arial" w:cs="Arial"/>
          <w:b w:val="0"/>
          <w:i w:val="0"/>
          <w:sz w:val="22"/>
        </w:rPr>
        <w:t>Abril 2026</w:t>
      </w:r>
    </w:p>
    <w:p>
      <w:r>
        <w:br w:type="page"/>
      </w:r>
    </w:p>
    <w:p>
      <w:pPr>
        <w:sectPr>
          <w:pgSz w:w="12240" w:h="15840"/>
          <w:pgMar w:top="1417" w:right="1701" w:bottom="1417" w:left="1701" w:header="720" w:footer="720" w:gutter="0"/>
          <w:cols w:space="720"/>
          <w:docGrid w:linePitch="360"/>
        </w:sectPr>
      </w:pPr>
    </w:p>
    <w:p>
      <w:pPr>
        <w:spacing w:line="360" w:lineRule="auto" w:before="0" w:after="120"/>
        <w:jc w:val="center"/>
      </w:pPr>
      <w:r>
        <w:rPr>
          <w:rFonts w:ascii="Arial" w:hAnsi="Arial" w:eastAsia="Arial" w:cs="Arial"/>
          <w:b/>
          <w:i w:val="0"/>
          <w:sz w:val="22"/>
        </w:rPr>
        <w:t>QUIÉN DEFINE QUÉ SIGNIFICA SABER INGLÉS: EL ESTÁNDAR CSE Y LA SOBERANÍA LINGÜÍSTICA DE CHINA</w:t>
      </w:r>
    </w:p>
    <w:p>
      <w:pPr>
        <w:spacing w:line="360" w:lineRule="auto" w:before="0" w:after="360"/>
        <w:jc w:val="center"/>
      </w:pPr>
      <w:r>
        <w:rPr>
          <w:rFonts w:ascii="Arial" w:hAnsi="Arial" w:eastAsia="Arial" w:cs="Arial"/>
          <w:b w:val="0"/>
          <w:i w:val="0"/>
          <w:sz w:val="22"/>
        </w:rPr>
        <w:t>Gaby Gomez</w:t>
      </w:r>
    </w:p>
    <w:p>
      <w:pPr>
        <w:spacing w:line="360" w:lineRule="auto" w:before="240" w:after="120"/>
        <w:jc w:val="left"/>
      </w:pPr>
      <w:r>
        <w:rPr>
          <w:rFonts w:ascii="Arial" w:hAnsi="Arial" w:eastAsia="Arial" w:cs="Arial"/>
          <w:b/>
          <w:i w:val="0"/>
          <w:sz w:val="22"/>
        </w:rPr>
        <w:t>Introducción</w:t>
      </w:r>
    </w:p>
    <w:p>
      <w:pPr>
        <w:spacing w:line="360" w:lineRule="auto" w:before="0" w:after="120"/>
        <w:jc w:val="both"/>
      </w:pPr>
      <w:r>
        <w:rPr>
          <w:rFonts w:ascii="Arial" w:hAnsi="Arial" w:eastAsia="Arial" w:cs="Arial"/>
          <w:b w:val="0"/>
          <w:i w:val="0"/>
          <w:sz w:val="22"/>
        </w:rPr>
        <w:t>La mayoría de los países que enseñan inglés como lengua extranjera dependen de marcos de evaluación diseñados en Occidente: el TOEFL en Estados Unidos, el IELTS en Reino Unido y Australia, y el Marco Común Europeo de Referencia (MCER) en Europa. La UNESCO planteó en 2023 una pregunta que me parece central: ¿la tecnología educativa es una herramienta en los términos de quién? (UNESCO, 2023). China respondió esa pregunta antes de que se formulara. En 2018, el Ministerio de Educación y la Comisión Estatal de Lenguas publicaron la Escala de Capacidad en Lengua Inglesa de China (CSE, por sus siglas en inglés), un marco propio para evaluar el dominio del inglés entre estudiantes chinos (教育部、国家语言文字工作委员会, 2018). El CSE no es solo un instrumento pedagógico: es una decisión sobre quién tiene la autoridad de definir los criterios de evaluación lingüística dentro de un país.</w:t>
      </w:r>
    </w:p>
    <w:p>
      <w:pPr>
        <w:spacing w:line="360" w:lineRule="auto" w:before="240" w:after="120"/>
        <w:jc w:val="left"/>
      </w:pPr>
      <w:r>
        <w:rPr>
          <w:rFonts w:ascii="Arial" w:hAnsi="Arial" w:eastAsia="Arial" w:cs="Arial"/>
          <w:b/>
          <w:i w:val="0"/>
          <w:sz w:val="22"/>
        </w:rPr>
        <w:t>Desarrollo</w:t>
      </w:r>
    </w:p>
    <w:p>
      <w:pPr>
        <w:spacing w:line="360" w:lineRule="auto" w:before="0" w:after="120"/>
        <w:jc w:val="left"/>
      </w:pPr>
      <w:r>
        <w:rPr>
          <w:rFonts w:ascii="Arial" w:hAnsi="Arial" w:eastAsia="Arial" w:cs="Arial"/>
          <w:b/>
          <w:i w:val="0"/>
          <w:sz w:val="22"/>
        </w:rPr>
        <w:t>Qué es el CSE y cómo está estructurado</w:t>
      </w:r>
    </w:p>
    <w:p>
      <w:pPr>
        <w:spacing w:line="360" w:lineRule="auto" w:before="0" w:after="120"/>
        <w:jc w:val="both"/>
      </w:pPr>
      <w:r>
        <w:rPr>
          <w:rFonts w:ascii="Arial" w:hAnsi="Arial" w:eastAsia="Arial" w:cs="Arial"/>
          <w:b w:val="0"/>
          <w:i w:val="0"/>
          <w:sz w:val="22"/>
        </w:rPr>
        <w:t>El CSE organiza la competencia en inglés en nueve niveles distribuidos en tres etapas: básica, intermedia y avanzada. Contiene aproximadamente 3,000 descriptores de tipo "puedo hacer" (</w:t>
      </w:r>
      <w:r>
        <w:rPr>
          <w:rFonts w:ascii="Arial" w:hAnsi="Arial" w:eastAsia="Arial" w:cs="Arial"/>
          <w:b w:val="0"/>
          <w:i/>
          <w:sz w:val="22"/>
        </w:rPr>
        <w:t>can-do</w:t>
      </w:r>
      <w:r>
        <w:rPr>
          <w:rFonts w:ascii="Arial" w:hAnsi="Arial" w:eastAsia="Arial" w:cs="Arial"/>
          <w:b w:val="0"/>
          <w:i w:val="0"/>
          <w:sz w:val="22"/>
        </w:rPr>
        <w:t>), que especifican lo que un estudiante es capaz de realizar en cada nivel. A diferencia del MCER, pensado como referencia general para múltiples lenguas y contextos europeos, el CSE fue diseñado específicamente para el sistema educativo chino y para estudiantes cuya lengua materna es el mandarín (教育部、国家语言文字工作委员会, 2018). No busca ser universal, sino funcional para un contexto particular.</w:t>
      </w:r>
    </w:p>
    <w:p>
      <w:pPr>
        <w:spacing w:line="360" w:lineRule="auto" w:before="0" w:after="120"/>
        <w:jc w:val="both"/>
      </w:pPr>
      <w:r>
        <w:rPr>
          <w:rFonts w:ascii="Arial" w:hAnsi="Arial" w:eastAsia="Arial" w:cs="Arial"/>
          <w:b w:val="0"/>
          <w:i w:val="0"/>
          <w:sz w:val="22"/>
        </w:rPr>
        <w:t>El marco está alineado con el MCER, el IELTS y el TOEFL iBT, lo que permite comparaciones con el exterior. Pero la base del instrumento es local: los descriptores responden a las necesidades de los estudiantes chinos, no a un perfil europeo o norteamericano.</w:t>
      </w:r>
    </w:p>
    <w:p>
      <w:pPr>
        <w:spacing w:line="360" w:lineRule="auto" w:before="0" w:after="120"/>
        <w:jc w:val="left"/>
      </w:pPr>
      <w:r>
        <w:rPr>
          <w:rFonts w:ascii="Arial" w:hAnsi="Arial" w:eastAsia="Arial" w:cs="Arial"/>
          <w:b/>
          <w:i w:val="0"/>
          <w:sz w:val="22"/>
        </w:rPr>
        <w:t>Por qué China decidió construirlo</w:t>
      </w:r>
    </w:p>
    <w:p>
      <w:pPr>
        <w:spacing w:line="360" w:lineRule="auto" w:before="0" w:after="120"/>
        <w:jc w:val="both"/>
      </w:pPr>
      <w:r>
        <w:rPr>
          <w:rFonts w:ascii="Arial" w:hAnsi="Arial" w:eastAsia="Arial" w:cs="Arial"/>
          <w:b w:val="0"/>
          <w:i w:val="0"/>
          <w:sz w:val="22"/>
        </w:rPr>
        <w:t>Para entender esta decisión hay que considerar el peso que el inglés ya tiene en el sistema educativo chino. El inglés es obligatorio desde tercer grado de primaria y representa 150 de los 750 puntos del gaokao, el examen nacional de ingreso a la universidad, es decir, el mismo peso que el chino y las matemáticas. Con esa magnitud, depender de marcos extranjeros para evaluar a millones de estudiantes resultaba limitante. China ya administraba sus propios exámenes de inglés a través de la Autoridad Nacional de Exámenes Educativos (NEEA); lo que faltaba era un marco conceptual propio que articulara todo el sistema.</w:t>
      </w:r>
    </w:p>
    <w:p>
      <w:pPr>
        <w:spacing w:line="360" w:lineRule="auto" w:before="0" w:after="120"/>
        <w:jc w:val="both"/>
      </w:pPr>
      <w:r>
        <w:rPr>
          <w:rFonts w:ascii="Arial" w:hAnsi="Arial" w:eastAsia="Arial" w:cs="Arial"/>
          <w:b w:val="0"/>
          <w:i w:val="0"/>
          <w:sz w:val="22"/>
        </w:rPr>
        <w:t>El proyecto comenzó en 2014 por directiva del Consejo de Estado. Cuatro años después, la escala fue publicada por el Ministerio de Educación y la Comisión Estatal de Lenguas (国家语言文字工作委员会). Me llamó la atención que la misma institución responsable de estandarizar el mandarín, desarrollar el Hanyu Pinyin y las formas simplificadas de los caracteres chinos, sea también la que define cómo se evalúa el inglés. La Comisión opera bajo un arreglo de "una institución, dos nombres" con el Ministerio de Educación, lo que significa que la política sobre la lengua propia y la lengua extranjera se gestionan desde el mismo aparato institucional.</w:t>
      </w:r>
    </w:p>
    <w:p>
      <w:pPr>
        <w:spacing w:line="360" w:lineRule="auto" w:before="0" w:after="120"/>
        <w:jc w:val="both"/>
      </w:pPr>
      <w:r>
        <w:rPr>
          <w:rFonts w:ascii="Arial" w:hAnsi="Arial" w:eastAsia="Arial" w:cs="Arial"/>
          <w:b w:val="0"/>
          <w:i w:val="0"/>
          <w:sz w:val="22"/>
        </w:rPr>
        <w:t>Me parece revelador que China haya publicado el CSE en 2018, tres años antes de que la UNESCO emitiera su Recomendación sobre la Ética de la Inteligencia Artificial, que en su artículo 109 pide que la educación respete la diversidad cultural y lingüística y que los países desarrollen capacidades propias en lugar de ser consumidores (UNESCO, 2021). China no esperó a que un organismo internacional le dijera que necesitaba soberanía en la evaluación de idiomas. Ya la estaba construyendo.</w:t>
      </w:r>
    </w:p>
    <w:p>
      <w:pPr>
        <w:spacing w:line="360" w:lineRule="auto" w:before="0" w:after="120"/>
        <w:jc w:val="left"/>
      </w:pPr>
      <w:r>
        <w:rPr>
          <w:rFonts w:ascii="Arial" w:hAnsi="Arial" w:eastAsia="Arial" w:cs="Arial"/>
          <w:b/>
          <w:i w:val="0"/>
          <w:sz w:val="22"/>
        </w:rPr>
        <w:t>El contexto de la Doble Reducción</w:t>
      </w:r>
    </w:p>
    <w:p>
      <w:pPr>
        <w:spacing w:line="360" w:lineRule="auto" w:before="0" w:after="120"/>
        <w:jc w:val="both"/>
      </w:pPr>
      <w:r>
        <w:rPr>
          <w:rFonts w:ascii="Arial" w:hAnsi="Arial" w:eastAsia="Arial" w:cs="Arial"/>
          <w:b w:val="0"/>
          <w:i w:val="0"/>
          <w:sz w:val="22"/>
        </w:rPr>
        <w:t>En julio de 2021, la política de "Doble Reducción" prohibió las tutorías con fines de lucro en educación obligatoria, incluyendo inglés (中共中央办公厅、国务院办公厅, 2021). Miles de academias de idiomas cerraron. Con la desaparición del mercado privado de preparación en inglés, el CSE pasó a ser el único referente unificado de competencia en inglés dentro del sistema nacional. Si el Estado elimina las alternativas privadas, el instrumento público se convierte, por defecto, en la única vara de medición.</w:t>
      </w:r>
    </w:p>
    <w:p>
      <w:pPr>
        <w:spacing w:line="360" w:lineRule="auto" w:before="0" w:after="120"/>
        <w:jc w:val="left"/>
      </w:pPr>
      <w:r>
        <w:rPr>
          <w:rFonts w:ascii="Arial" w:hAnsi="Arial" w:eastAsia="Arial" w:cs="Arial"/>
          <w:b/>
          <w:i w:val="0"/>
          <w:sz w:val="22"/>
        </w:rPr>
        <w:t>Una escala que evoluciona</w:t>
      </w:r>
    </w:p>
    <w:p>
      <w:pPr>
        <w:spacing w:line="360" w:lineRule="auto" w:before="0" w:after="120"/>
        <w:jc w:val="both"/>
      </w:pPr>
      <w:r>
        <w:rPr>
          <w:rFonts w:ascii="Arial" w:hAnsi="Arial" w:eastAsia="Arial" w:cs="Arial"/>
          <w:b w:val="0"/>
          <w:i w:val="0"/>
          <w:sz w:val="22"/>
        </w:rPr>
        <w:t>Según la investigación realizada en este curso, en noviembre de 2024 se publicó una versión revisada del CSE, vigente desde marzo de 2025, que incorpora escalas para interpretación y traducción. Me llamó la atención esta ampliación: sugiere que China busca formar profesionales que no solo comprendan inglés, sino que operen activamente entre ambas lenguas.</w:t>
      </w:r>
    </w:p>
    <w:p>
      <w:pPr>
        <w:spacing w:line="360" w:lineRule="auto" w:before="240" w:after="120"/>
        <w:jc w:val="left"/>
      </w:pPr>
      <w:r>
        <w:rPr>
          <w:rFonts w:ascii="Arial" w:hAnsi="Arial" w:eastAsia="Arial" w:cs="Arial"/>
          <w:b/>
          <w:i w:val="0"/>
          <w:sz w:val="22"/>
        </w:rPr>
        <w:t>Conclusión</w:t>
      </w:r>
    </w:p>
    <w:p>
      <w:pPr>
        <w:spacing w:line="360" w:lineRule="auto" w:before="0" w:after="120"/>
        <w:jc w:val="both"/>
      </w:pPr>
      <w:r>
        <w:rPr>
          <w:rFonts w:ascii="Arial" w:hAnsi="Arial" w:eastAsia="Arial" w:cs="Arial"/>
          <w:b w:val="0"/>
          <w:i w:val="0"/>
          <w:sz w:val="22"/>
        </w:rPr>
        <w:t>El CSE plantea una pregunta que otros países no han enfrentado con la misma determinación: ¿es posible definir estándares propios de competencia en una lengua extranjera sin aislarse de los marcos globales? China demostró que sí, pero bajo condiciones particulares: un gobierno centralizado capaz de coordinar política lingüística desde una sola institución, más de 200 millones de estudiantes de inglés que justifican la inversión, y la voluntad política de restringir el mercado educativo privado para fortalecer el sistema público. La UNESCO ha insistido en que los países deben mantener agencia sobre sus herramientas educativas y sistemas de evaluación, en lugar de externalizarlos (Miao et al., 2021). El CSE es un caso concreto de esa agencia en acción. No cualquier país cuenta con los factores que hicieron posible el CSE. Pero la lógica de fondo es transferible: adaptar la evaluación al contexto local en lugar de importarla. Me parece que el caso chino no ofrece un modelo replicable sin más, sino una provocación. Si un marco de evaluación refleja la visión de quien lo diseña, la pregunta para cada país no es solo qué nivel de inglés exigir, sino quién debería decidirlo.</w:t>
      </w:r>
    </w:p>
    <w:p>
      <w:pPr>
        <w:spacing w:line="360" w:lineRule="auto" w:before="240" w:after="120"/>
        <w:jc w:val="left"/>
      </w:pPr>
      <w:r>
        <w:rPr>
          <w:rFonts w:ascii="Arial" w:hAnsi="Arial" w:eastAsia="Arial" w:cs="Arial"/>
          <w:b/>
          <w:i w:val="0"/>
          <w:sz w:val="22"/>
        </w:rPr>
        <w:t>Bibliografía</w:t>
      </w:r>
    </w:p>
    <w:p>
      <w:pPr>
        <w:spacing w:line="360" w:lineRule="auto" w:before="0" w:after="160"/>
        <w:ind w:hanging="720" w:left="720"/>
        <w:jc w:val="left"/>
      </w:pPr>
      <w:r>
        <w:rPr>
          <w:rFonts w:ascii="Arial" w:hAnsi="Arial" w:eastAsia="Arial" w:cs="Arial"/>
          <w:b w:val="0"/>
          <w:i w:val="0"/>
          <w:sz w:val="22"/>
        </w:rPr>
        <w:t>教育部、国家语言文字工作委员会 [Ministerio de Educación y Comisión Estatal de Lenguas]. (2018). 中国英语能力等级量表 [Escala de Capacidad en Lengua Inglesa de China / CSE]. http://www.moe.gov.cn/srcsite/A19/s229/201804/t20180416_333315.html</w:t>
      </w:r>
    </w:p>
    <w:p>
      <w:pPr>
        <w:spacing w:line="360" w:lineRule="auto" w:before="0" w:after="160"/>
        <w:ind w:hanging="720" w:left="720"/>
        <w:jc w:val="left"/>
      </w:pPr>
      <w:r>
        <w:rPr>
          <w:rFonts w:ascii="Arial" w:hAnsi="Arial" w:eastAsia="Arial" w:cs="Arial"/>
          <w:b w:val="0"/>
          <w:i w:val="0"/>
          <w:sz w:val="22"/>
        </w:rPr>
        <w:t>中共中央办公厅、国务院办公厅 [Oficina del Comité Central del PCCh y Oficina del Consejo de Estado]. (2021). 关于进一步减轻义务教育阶段学生作业负担和校外培训负担的意见 [Opinión sobre reducir la carga de tareas y tutorías extraescolares en educación obligatoria]. https://www.gov.cn/zhengce/2021-07/24/content_5627132.htm</w:t>
      </w:r>
    </w:p>
    <w:p>
      <w:pPr>
        <w:spacing w:line="360" w:lineRule="auto" w:before="0" w:after="160"/>
        <w:ind w:hanging="720" w:left="720"/>
        <w:jc w:val="left"/>
      </w:pPr>
      <w:r>
        <w:rPr>
          <w:rFonts w:ascii="Arial" w:hAnsi="Arial" w:eastAsia="Arial" w:cs="Arial"/>
          <w:b w:val="0"/>
          <w:i w:val="0"/>
          <w:sz w:val="22"/>
        </w:rPr>
        <w:t xml:space="preserve">Miao, F., Holmes, W., Huang, R., y Zhang, H. (2021). </w:t>
      </w:r>
      <w:r>
        <w:rPr>
          <w:rFonts w:ascii="Arial" w:hAnsi="Arial" w:eastAsia="Arial" w:cs="Arial"/>
          <w:b w:val="0"/>
          <w:i/>
          <w:sz w:val="22"/>
        </w:rPr>
        <w:t>AI and education: Guidance for policy-makers</w:t>
      </w:r>
      <w:r>
        <w:rPr>
          <w:rFonts w:ascii="Arial" w:hAnsi="Arial" w:eastAsia="Arial" w:cs="Arial"/>
          <w:b w:val="0"/>
          <w:i w:val="0"/>
          <w:sz w:val="22"/>
        </w:rPr>
        <w:t>. UNESCO. https://unesdoc.unesco.org/ark:/48223/pf0000376709</w:t>
      </w:r>
    </w:p>
    <w:p>
      <w:pPr>
        <w:spacing w:line="360" w:lineRule="auto" w:before="0" w:after="160"/>
        <w:ind w:hanging="720" w:left="720"/>
        <w:jc w:val="left"/>
      </w:pPr>
      <w:r>
        <w:rPr>
          <w:rFonts w:ascii="Arial" w:hAnsi="Arial" w:eastAsia="Arial" w:cs="Arial"/>
          <w:b w:val="0"/>
          <w:i w:val="0"/>
          <w:sz w:val="22"/>
        </w:rPr>
        <w:t xml:space="preserve">UNESCO. (2021). </w:t>
      </w:r>
      <w:r>
        <w:rPr>
          <w:rFonts w:ascii="Arial" w:hAnsi="Arial" w:eastAsia="Arial" w:cs="Arial"/>
          <w:b w:val="0"/>
          <w:i/>
          <w:sz w:val="22"/>
        </w:rPr>
        <w:t>Recommendation on the Ethics of Artificial Intelligence</w:t>
      </w:r>
      <w:r>
        <w:rPr>
          <w:rFonts w:ascii="Arial" w:hAnsi="Arial" w:eastAsia="Arial" w:cs="Arial"/>
          <w:b w:val="0"/>
          <w:i w:val="0"/>
          <w:sz w:val="22"/>
        </w:rPr>
        <w:t>. https://unesdoc.unesco.org/ark:/48223/pf0000381137</w:t>
      </w:r>
    </w:p>
    <w:p>
      <w:pPr>
        <w:spacing w:line="360" w:lineRule="auto" w:before="0" w:after="160"/>
        <w:ind w:hanging="720" w:left="720"/>
        <w:jc w:val="left"/>
      </w:pPr>
      <w:r>
        <w:rPr>
          <w:rFonts w:ascii="Arial" w:hAnsi="Arial" w:eastAsia="Arial" w:cs="Arial"/>
          <w:b w:val="0"/>
          <w:i w:val="0"/>
          <w:sz w:val="22"/>
        </w:rPr>
        <w:t xml:space="preserve">UNESCO. (2023). </w:t>
      </w:r>
      <w:r>
        <w:rPr>
          <w:rFonts w:ascii="Arial" w:hAnsi="Arial" w:eastAsia="Arial" w:cs="Arial"/>
          <w:b w:val="0"/>
          <w:i/>
          <w:sz w:val="22"/>
        </w:rPr>
        <w:t>Informe de seguimiento de la educación en el mundo 2023: La tecnología en la educación — ¿Una herramienta en los términos de quién?</w:t>
      </w:r>
      <w:r>
        <w:rPr>
          <w:rFonts w:ascii="Arial" w:hAnsi="Arial" w:eastAsia="Arial" w:cs="Arial"/>
          <w:b w:val="0"/>
          <w:i w:val="0"/>
          <w:sz w:val="22"/>
        </w:rPr>
        <w:t xml:space="preserve"> https://unesdoc.unesco.org/ark:/48223/pf0000385723</w:t>
      </w:r>
    </w:p>
    <w:p>
      <w:pPr>
        <w:spacing w:line="360" w:lineRule="auto" w:before="240" w:after="120"/>
        <w:jc w:val="left"/>
      </w:pPr>
      <w:r>
        <w:rPr>
          <w:rFonts w:ascii="Arial" w:hAnsi="Arial" w:eastAsia="Arial" w:cs="Arial"/>
          <w:b/>
          <w:i w:val="0"/>
          <w:sz w:val="22"/>
        </w:rPr>
        <w:t>Agradecimientos</w:t>
      </w:r>
    </w:p>
    <w:p>
      <w:pPr>
        <w:spacing w:line="360" w:lineRule="auto" w:before="0" w:after="120"/>
        <w:jc w:val="left"/>
      </w:pPr>
      <w:r>
        <w:rPr>
          <w:rFonts w:ascii="Arial" w:hAnsi="Arial" w:eastAsia="Arial" w:cs="Arial"/>
          <w:b w:val="0"/>
          <w:i/>
          <w:sz w:val="22"/>
        </w:rPr>
        <w:t>Este ensayo fue elaborado como parte del Programa de Invierno INFOTEC. Agradezco al programa y a todos los docentes participantes por su acompañamiento y orientación durante este proceso.</w:t>
      </w:r>
    </w:p>
    <w:sectPr w:rsidR="00FC693F" w:rsidRPr="0006063C" w:rsidSect="00034616">
      <w:headerReference w:type="default" r:id="rId9"/>
      <w:footerReference w:type="default" r:id="rId1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t>Gaby Gomez</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i/>
        <w:sz w:val="18"/>
      </w:rPr>
      <w:t>Soberanía lingüística: el CSE de China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