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9271" w14:textId="77777777" w:rsidR="002D03A2" w:rsidRPr="004061E6" w:rsidRDefault="002D03A2" w:rsidP="004061E6">
      <w:pPr>
        <w:spacing w:line="480" w:lineRule="auto"/>
        <w:rPr>
          <w:rFonts w:ascii="Times New Roman" w:hAnsi="Times New Roman" w:cs="Times New Roman"/>
          <w:b/>
          <w:bCs/>
          <w:sz w:val="22"/>
          <w:szCs w:val="22"/>
        </w:rPr>
      </w:pPr>
    </w:p>
    <w:p w14:paraId="30690715" w14:textId="77777777" w:rsidR="00857931" w:rsidRPr="00857931" w:rsidRDefault="00857931" w:rsidP="00857931">
      <w:pPr>
        <w:spacing w:line="480" w:lineRule="auto"/>
        <w:jc w:val="center"/>
        <w:rPr>
          <w:rFonts w:ascii="Times New Roman" w:hAnsi="Times New Roman" w:cs="Times New Roman"/>
          <w:b/>
          <w:bCs/>
          <w:sz w:val="22"/>
          <w:szCs w:val="22"/>
        </w:rPr>
      </w:pPr>
      <w:r w:rsidRPr="00857931">
        <w:rPr>
          <w:rFonts w:ascii="Times New Roman" w:hAnsi="Times New Roman" w:cs="Times New Roman"/>
          <w:b/>
          <w:bCs/>
          <w:sz w:val="22"/>
          <w:szCs w:val="22"/>
        </w:rPr>
        <w:t>Tecnológico de Monterrey</w:t>
      </w:r>
    </w:p>
    <w:p w14:paraId="08A118E8" w14:textId="77777777" w:rsidR="00857931" w:rsidRDefault="00857931" w:rsidP="00857931">
      <w:pPr>
        <w:spacing w:line="480" w:lineRule="auto"/>
        <w:jc w:val="center"/>
        <w:rPr>
          <w:rFonts w:ascii="Times New Roman" w:hAnsi="Times New Roman" w:cs="Times New Roman"/>
          <w:b/>
          <w:bCs/>
          <w:sz w:val="22"/>
          <w:szCs w:val="22"/>
        </w:rPr>
      </w:pPr>
      <w:r>
        <w:rPr>
          <w:rFonts w:ascii="Times New Roman" w:hAnsi="Times New Roman" w:cs="Times New Roman"/>
          <w:b/>
          <w:bCs/>
          <w:sz w:val="22"/>
          <w:szCs w:val="22"/>
        </w:rPr>
        <w:t>DIAGNOSTICO PARA LINEAS DE ACCIÓN</w:t>
      </w:r>
    </w:p>
    <w:p w14:paraId="3C4DD2B8" w14:textId="3FB83533" w:rsidR="00857931" w:rsidRDefault="00857931" w:rsidP="00857931">
      <w:pPr>
        <w:spacing w:line="480" w:lineRule="auto"/>
        <w:jc w:val="center"/>
        <w:rPr>
          <w:rFonts w:ascii="Times New Roman" w:hAnsi="Times New Roman" w:cs="Times New Roman"/>
          <w:b/>
          <w:bCs/>
          <w:sz w:val="22"/>
          <w:szCs w:val="22"/>
        </w:rPr>
      </w:pPr>
      <w:proofErr w:type="spellStart"/>
      <w:r>
        <w:rPr>
          <w:rFonts w:ascii="Times New Roman" w:hAnsi="Times New Roman" w:cs="Times New Roman"/>
          <w:b/>
          <w:bCs/>
          <w:sz w:val="22"/>
          <w:szCs w:val="22"/>
        </w:rPr>
        <w:t>Hesus</w:t>
      </w:r>
      <w:proofErr w:type="spellEnd"/>
      <w:r>
        <w:rPr>
          <w:rFonts w:ascii="Times New Roman" w:hAnsi="Times New Roman" w:cs="Times New Roman"/>
          <w:b/>
          <w:bCs/>
          <w:sz w:val="22"/>
          <w:szCs w:val="22"/>
        </w:rPr>
        <w:t xml:space="preserve"> García Cobos</w:t>
      </w:r>
    </w:p>
    <w:p w14:paraId="10399159" w14:textId="38439BDA" w:rsidR="00857931" w:rsidRPr="00857931" w:rsidRDefault="00857931" w:rsidP="00857931">
      <w:pPr>
        <w:spacing w:line="480" w:lineRule="auto"/>
        <w:jc w:val="center"/>
        <w:rPr>
          <w:rFonts w:ascii="Times New Roman" w:hAnsi="Times New Roman" w:cs="Times New Roman"/>
          <w:b/>
          <w:bCs/>
          <w:sz w:val="22"/>
          <w:szCs w:val="22"/>
        </w:rPr>
      </w:pPr>
      <w:r>
        <w:rPr>
          <w:rFonts w:ascii="Times New Roman" w:hAnsi="Times New Roman" w:cs="Times New Roman"/>
          <w:b/>
          <w:bCs/>
          <w:sz w:val="22"/>
          <w:szCs w:val="22"/>
        </w:rPr>
        <w:t>Beatriz Ochoa Ramírez</w:t>
      </w:r>
    </w:p>
    <w:p w14:paraId="1099AF0B" w14:textId="1F19CC8D" w:rsidR="00857931" w:rsidRPr="00857931" w:rsidRDefault="00857931" w:rsidP="00857931">
      <w:pPr>
        <w:spacing w:line="480" w:lineRule="auto"/>
        <w:rPr>
          <w:rFonts w:ascii="Times New Roman" w:hAnsi="Times New Roman" w:cs="Times New Roman"/>
          <w:b/>
          <w:bCs/>
          <w:sz w:val="22"/>
          <w:szCs w:val="22"/>
        </w:rPr>
      </w:pPr>
      <w:r w:rsidRPr="00857931">
        <w:rPr>
          <w:rFonts w:ascii="Times New Roman" w:hAnsi="Times New Roman" w:cs="Times New Roman"/>
          <w:b/>
          <w:bCs/>
          <w:sz w:val="22"/>
          <w:szCs w:val="22"/>
        </w:rPr>
        <w:drawing>
          <wp:inline distT="0" distB="0" distL="0" distR="0" wp14:anchorId="0C40E39F" wp14:editId="4CE8EEB1">
            <wp:extent cx="5514975" cy="1466850"/>
            <wp:effectExtent l="0" t="0" r="9525" b="0"/>
            <wp:docPr id="18678474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4975" cy="1466850"/>
                    </a:xfrm>
                    <a:prstGeom prst="rect">
                      <a:avLst/>
                    </a:prstGeom>
                    <a:noFill/>
                    <a:ln>
                      <a:noFill/>
                    </a:ln>
                  </pic:spPr>
                </pic:pic>
              </a:graphicData>
            </a:graphic>
          </wp:inline>
        </w:drawing>
      </w:r>
    </w:p>
    <w:p w14:paraId="779FECCD" w14:textId="77777777" w:rsidR="00857931" w:rsidRPr="00857931" w:rsidRDefault="00857931" w:rsidP="00857931">
      <w:pPr>
        <w:spacing w:line="480" w:lineRule="auto"/>
        <w:jc w:val="center"/>
        <w:rPr>
          <w:rFonts w:ascii="Times New Roman" w:hAnsi="Times New Roman" w:cs="Times New Roman"/>
          <w:b/>
          <w:bCs/>
          <w:sz w:val="22"/>
          <w:szCs w:val="22"/>
        </w:rPr>
      </w:pPr>
      <w:r w:rsidRPr="00857931">
        <w:rPr>
          <w:rFonts w:ascii="Times New Roman" w:hAnsi="Times New Roman" w:cs="Times New Roman"/>
          <w:b/>
          <w:bCs/>
          <w:sz w:val="22"/>
          <w:szCs w:val="22"/>
        </w:rPr>
        <w:t>Ana Sofía Miranda Salazar // A01658417</w:t>
      </w:r>
    </w:p>
    <w:p w14:paraId="4D4C5A73" w14:textId="77777777" w:rsidR="00857931" w:rsidRPr="00857931" w:rsidRDefault="00857931" w:rsidP="00857931">
      <w:pPr>
        <w:spacing w:line="480" w:lineRule="auto"/>
        <w:rPr>
          <w:rFonts w:ascii="Times New Roman" w:hAnsi="Times New Roman" w:cs="Times New Roman"/>
          <w:b/>
          <w:bCs/>
          <w:sz w:val="22"/>
          <w:szCs w:val="22"/>
        </w:rPr>
      </w:pPr>
    </w:p>
    <w:p w14:paraId="0536CFDD" w14:textId="77777777" w:rsidR="00857931" w:rsidRDefault="00857931" w:rsidP="00857931">
      <w:pPr>
        <w:spacing w:line="480" w:lineRule="auto"/>
        <w:jc w:val="center"/>
        <w:rPr>
          <w:rFonts w:ascii="Times New Roman" w:hAnsi="Times New Roman" w:cs="Times New Roman"/>
          <w:b/>
          <w:bCs/>
          <w:sz w:val="22"/>
          <w:szCs w:val="22"/>
        </w:rPr>
      </w:pPr>
      <w:r w:rsidRPr="00857931">
        <w:rPr>
          <w:rFonts w:ascii="Times New Roman" w:hAnsi="Times New Roman" w:cs="Times New Roman"/>
          <w:b/>
          <w:bCs/>
          <w:sz w:val="22"/>
          <w:szCs w:val="22"/>
        </w:rPr>
        <w:t xml:space="preserve">Semestre Agosto - </w:t>
      </w:r>
      <w:proofErr w:type="gramStart"/>
      <w:r w:rsidRPr="00857931">
        <w:rPr>
          <w:rFonts w:ascii="Times New Roman" w:hAnsi="Times New Roman" w:cs="Times New Roman"/>
          <w:b/>
          <w:bCs/>
          <w:sz w:val="22"/>
          <w:szCs w:val="22"/>
        </w:rPr>
        <w:t>Diciembre</w:t>
      </w:r>
      <w:proofErr w:type="gramEnd"/>
      <w:r w:rsidRPr="00857931">
        <w:rPr>
          <w:rFonts w:ascii="Times New Roman" w:hAnsi="Times New Roman" w:cs="Times New Roman"/>
          <w:b/>
          <w:bCs/>
          <w:sz w:val="22"/>
          <w:szCs w:val="22"/>
        </w:rPr>
        <w:t xml:space="preserve"> 2025</w:t>
      </w:r>
    </w:p>
    <w:p w14:paraId="79280FD6" w14:textId="77777777" w:rsidR="00857931" w:rsidRDefault="00857931" w:rsidP="00857931">
      <w:pPr>
        <w:spacing w:line="480" w:lineRule="auto"/>
        <w:rPr>
          <w:rFonts w:ascii="Times New Roman" w:hAnsi="Times New Roman" w:cs="Times New Roman"/>
          <w:b/>
          <w:bCs/>
          <w:sz w:val="22"/>
          <w:szCs w:val="22"/>
        </w:rPr>
      </w:pPr>
    </w:p>
    <w:p w14:paraId="0C10B288" w14:textId="77777777" w:rsidR="00857931" w:rsidRDefault="00857931" w:rsidP="00857931">
      <w:pPr>
        <w:spacing w:line="480" w:lineRule="auto"/>
        <w:rPr>
          <w:rFonts w:ascii="Times New Roman" w:hAnsi="Times New Roman" w:cs="Times New Roman"/>
          <w:b/>
          <w:bCs/>
          <w:sz w:val="22"/>
          <w:szCs w:val="22"/>
        </w:rPr>
      </w:pPr>
    </w:p>
    <w:p w14:paraId="7A5A4E24" w14:textId="77777777" w:rsidR="00857931" w:rsidRDefault="00857931" w:rsidP="00857931">
      <w:pPr>
        <w:spacing w:line="480" w:lineRule="auto"/>
        <w:rPr>
          <w:rFonts w:ascii="Times New Roman" w:hAnsi="Times New Roman" w:cs="Times New Roman"/>
          <w:b/>
          <w:bCs/>
          <w:sz w:val="22"/>
          <w:szCs w:val="22"/>
        </w:rPr>
      </w:pPr>
    </w:p>
    <w:p w14:paraId="1841E1ED" w14:textId="77777777" w:rsidR="00857931" w:rsidRDefault="00857931" w:rsidP="00857931">
      <w:pPr>
        <w:spacing w:line="480" w:lineRule="auto"/>
        <w:rPr>
          <w:rFonts w:ascii="Times New Roman" w:hAnsi="Times New Roman" w:cs="Times New Roman"/>
          <w:b/>
          <w:bCs/>
          <w:sz w:val="22"/>
          <w:szCs w:val="22"/>
        </w:rPr>
      </w:pPr>
    </w:p>
    <w:p w14:paraId="3356A9AD" w14:textId="77777777" w:rsidR="00857931" w:rsidRDefault="00857931" w:rsidP="00857931">
      <w:pPr>
        <w:spacing w:line="480" w:lineRule="auto"/>
        <w:rPr>
          <w:rFonts w:ascii="Times New Roman" w:hAnsi="Times New Roman" w:cs="Times New Roman"/>
          <w:b/>
          <w:bCs/>
          <w:sz w:val="22"/>
          <w:szCs w:val="22"/>
        </w:rPr>
      </w:pPr>
    </w:p>
    <w:p w14:paraId="19B8D8E4" w14:textId="77777777" w:rsidR="00857931" w:rsidRDefault="00857931" w:rsidP="00857931">
      <w:pPr>
        <w:spacing w:line="480" w:lineRule="auto"/>
        <w:rPr>
          <w:rFonts w:ascii="Times New Roman" w:hAnsi="Times New Roman" w:cs="Times New Roman"/>
          <w:b/>
          <w:bCs/>
          <w:sz w:val="22"/>
          <w:szCs w:val="22"/>
        </w:rPr>
      </w:pPr>
    </w:p>
    <w:p w14:paraId="40E38910" w14:textId="77777777" w:rsidR="00857931" w:rsidRDefault="00857931" w:rsidP="00857931">
      <w:pPr>
        <w:spacing w:line="480" w:lineRule="auto"/>
        <w:rPr>
          <w:rFonts w:ascii="Times New Roman" w:hAnsi="Times New Roman" w:cs="Times New Roman"/>
          <w:b/>
          <w:bCs/>
          <w:sz w:val="22"/>
          <w:szCs w:val="22"/>
        </w:rPr>
      </w:pPr>
    </w:p>
    <w:p w14:paraId="5600ECEE" w14:textId="77777777" w:rsidR="00857931" w:rsidRPr="00857931" w:rsidRDefault="00857931" w:rsidP="00857931">
      <w:pPr>
        <w:spacing w:line="480" w:lineRule="auto"/>
        <w:rPr>
          <w:rFonts w:ascii="Times New Roman" w:hAnsi="Times New Roman" w:cs="Times New Roman"/>
          <w:b/>
          <w:bCs/>
          <w:sz w:val="22"/>
          <w:szCs w:val="22"/>
        </w:rPr>
      </w:pPr>
    </w:p>
    <w:p w14:paraId="495794EC" w14:textId="33FF4E24"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lastRenderedPageBreak/>
        <w:t>Informe de Análisis Organizacional y Calidad en el Servicio: Fundación Teletón México</w:t>
      </w:r>
    </w:p>
    <w:p w14:paraId="3FF90A7C"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1. Contexto Organizacional y su Impacto en la Dignidad Humana</w:t>
      </w:r>
    </w:p>
    <w:p w14:paraId="50140E56"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El presente análisis se centra en la labor de la Fundación Teletón México, una organización sin fines de lucro dedicada a la rehabilitación e inclusión de niños, niñas y adolescentes con discapacidad, autismo y cáncer. Su trabajo se desarrolla en un complejo marco social, económico y político que impacta directamente en la vida y dignidad de las personas que atiende.</w:t>
      </w:r>
    </w:p>
    <w:p w14:paraId="2C76EA89"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a) ¿Qué problemática atiende la organización?</w:t>
      </w:r>
    </w:p>
    <w:p w14:paraId="691055D2"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Teletón atiende la problemática de la discapacidad, el autismo y el cáncer infantil en México, con un enfoque particular en la rehabilitación integral y la inclusión social. Esta labor se dirige principalmente a la población de bajos recursos, que carece de acceso a servicios de salud y rehabilitación de alta calidad debido a las barreras económicas y geográficas.</w:t>
      </w:r>
    </w:p>
    <w:p w14:paraId="32B94124"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b) ¿Por qué es una problemática relevante en el país?</w:t>
      </w:r>
    </w:p>
    <w:p w14:paraId="0804D27B" w14:textId="19826EBD"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La discapacidad en México es una problemática de gran relevancia. A pesar de los avances, la población con discapacidad enfrenta altos índices de exclusión, discriminación y barreras para el ejercicio pleno de sus derechos. La falta de infraestructura especializada y la escasez de servicios de rehabilitación accesibles, especialmente en zonas rurales o de bajos ingresos, hacen que la labor de Teletón sea crucial para miles de familias</w:t>
      </w:r>
      <w:r w:rsidRPr="004061E6">
        <w:rPr>
          <w:rFonts w:ascii="Times New Roman" w:hAnsi="Times New Roman" w:cs="Times New Roman"/>
          <w:sz w:val="22"/>
          <w:szCs w:val="22"/>
        </w:rPr>
        <w:t>.</w:t>
      </w:r>
    </w:p>
    <w:p w14:paraId="3C0B6857"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c) ¿Por qué es relevante la labor que realiza la organización?</w:t>
      </w:r>
    </w:p>
    <w:p w14:paraId="1CAE992A" w14:textId="6AA488BE"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La relevancia de Teletón radica en su capacidad para ofrecer un modelo de atención integral y de alta calidad a una población históricamente marginada. Con 26 Centros Teletón (</w:t>
      </w:r>
      <w:proofErr w:type="spellStart"/>
      <w:r w:rsidRPr="00D326C2">
        <w:rPr>
          <w:rFonts w:ascii="Times New Roman" w:hAnsi="Times New Roman" w:cs="Times New Roman"/>
          <w:sz w:val="22"/>
          <w:szCs w:val="22"/>
        </w:rPr>
        <w:t>CRITs</w:t>
      </w:r>
      <w:proofErr w:type="spellEnd"/>
      <w:r w:rsidRPr="00D326C2">
        <w:rPr>
          <w:rFonts w:ascii="Times New Roman" w:hAnsi="Times New Roman" w:cs="Times New Roman"/>
          <w:sz w:val="22"/>
          <w:szCs w:val="22"/>
        </w:rPr>
        <w:t xml:space="preserve">), un Centro Autismo y un Hospital Infantil de Oncología, la Fundación ha atendido a más de 840,433 personas desde 1999, otorgando más de 38 millones de </w:t>
      </w:r>
      <w:proofErr w:type="gramStart"/>
      <w:r w:rsidRPr="00D326C2">
        <w:rPr>
          <w:rFonts w:ascii="Times New Roman" w:hAnsi="Times New Roman" w:cs="Times New Roman"/>
          <w:sz w:val="22"/>
          <w:szCs w:val="22"/>
        </w:rPr>
        <w:t>servicios .</w:t>
      </w:r>
      <w:proofErr w:type="gramEnd"/>
      <w:r w:rsidRPr="00D326C2">
        <w:rPr>
          <w:rFonts w:ascii="Times New Roman" w:hAnsi="Times New Roman" w:cs="Times New Roman"/>
          <w:sz w:val="22"/>
          <w:szCs w:val="22"/>
        </w:rPr>
        <w:t xml:space="preserve"> Su labor complementa la acción del Estado, cubriendo un vacío crítico en la atención a la salud y la inclusión.</w:t>
      </w:r>
    </w:p>
    <w:p w14:paraId="7136A5A4"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lastRenderedPageBreak/>
        <w:t>d) ¿Cuáles son las características que suelen tener sus beneficiarios?</w:t>
      </w:r>
    </w:p>
    <w:p w14:paraId="587D660F" w14:textId="32BA7348"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Los beneficiarios de Teletón son principalmente niños, niñas y adolescentes con discapacidad neuromusculoesquelética, autismo o cáncer. Una característica fundamental es su vulnerabilidad económica, ya que un alto porcentaje de las familias atendidas se encuentra en situación de pobreza o con ingresos mensuales muy limitados.</w:t>
      </w:r>
    </w:p>
    <w:p w14:paraId="5DC1336D"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e) ¿Cuál es la cantidad de beneficiarios que atiende?</w:t>
      </w:r>
    </w:p>
    <w:p w14:paraId="57DEBE9A" w14:textId="251D80DA"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Desde su fundación, Teletón ha atendido a más de 840,433 personas. Anualmente, sus centros benefician a más de 30,000 niños, niñas y adolescentes.</w:t>
      </w:r>
    </w:p>
    <w:p w14:paraId="17430A44"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f) ¿Cuál es el argumento ético que sustenta su labor (ODS)?</w:t>
      </w:r>
    </w:p>
    <w:p w14:paraId="01ED90E6"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El argumento ético de Teletón se centra en la dignidad humana y el derecho a la salud y la inclusión. Su labor se alinea con la Agenda 2030 y los Objetivos de Desarrollo Sostenible (ODS), principalmente:</w:t>
      </w:r>
    </w:p>
    <w:p w14:paraId="11DC71E4" w14:textId="77777777" w:rsidR="00D326C2" w:rsidRPr="00D326C2" w:rsidRDefault="00D326C2" w:rsidP="004061E6">
      <w:pPr>
        <w:numPr>
          <w:ilvl w:val="0"/>
          <w:numId w:val="1"/>
        </w:numPr>
        <w:spacing w:line="480" w:lineRule="auto"/>
        <w:rPr>
          <w:rFonts w:ascii="Times New Roman" w:hAnsi="Times New Roman" w:cs="Times New Roman"/>
          <w:sz w:val="22"/>
          <w:szCs w:val="22"/>
        </w:rPr>
      </w:pPr>
      <w:r w:rsidRPr="00D326C2">
        <w:rPr>
          <w:rFonts w:ascii="Times New Roman" w:hAnsi="Times New Roman" w:cs="Times New Roman"/>
          <w:sz w:val="22"/>
          <w:szCs w:val="22"/>
        </w:rPr>
        <w:t>ODS 3: Salud y Bienestar: Proporcionando servicios de rehabilitación de calidad.</w:t>
      </w:r>
    </w:p>
    <w:p w14:paraId="510A035C" w14:textId="77777777" w:rsidR="00D326C2" w:rsidRPr="00D326C2" w:rsidRDefault="00D326C2" w:rsidP="004061E6">
      <w:pPr>
        <w:numPr>
          <w:ilvl w:val="0"/>
          <w:numId w:val="1"/>
        </w:numPr>
        <w:spacing w:line="480" w:lineRule="auto"/>
        <w:rPr>
          <w:rFonts w:ascii="Times New Roman" w:hAnsi="Times New Roman" w:cs="Times New Roman"/>
          <w:sz w:val="22"/>
          <w:szCs w:val="22"/>
        </w:rPr>
      </w:pPr>
      <w:r w:rsidRPr="00D326C2">
        <w:rPr>
          <w:rFonts w:ascii="Times New Roman" w:hAnsi="Times New Roman" w:cs="Times New Roman"/>
          <w:sz w:val="22"/>
          <w:szCs w:val="22"/>
        </w:rPr>
        <w:t>ODS 10: Reducción de las Desigualdades: Enfocándose en la población más vulnerable.</w:t>
      </w:r>
    </w:p>
    <w:p w14:paraId="082FAE80" w14:textId="77777777" w:rsidR="00D326C2" w:rsidRPr="00D326C2" w:rsidRDefault="00D326C2" w:rsidP="004061E6">
      <w:pPr>
        <w:numPr>
          <w:ilvl w:val="0"/>
          <w:numId w:val="1"/>
        </w:numPr>
        <w:spacing w:line="480" w:lineRule="auto"/>
        <w:rPr>
          <w:rFonts w:ascii="Times New Roman" w:hAnsi="Times New Roman" w:cs="Times New Roman"/>
          <w:sz w:val="22"/>
          <w:szCs w:val="22"/>
        </w:rPr>
      </w:pPr>
      <w:r w:rsidRPr="00D326C2">
        <w:rPr>
          <w:rFonts w:ascii="Times New Roman" w:hAnsi="Times New Roman" w:cs="Times New Roman"/>
          <w:sz w:val="22"/>
          <w:szCs w:val="22"/>
        </w:rPr>
        <w:t>ODS 16: Paz, Justicia e Instituciones Sólidas: Promoviendo sociedades inclusivas y justas.</w:t>
      </w:r>
    </w:p>
    <w:p w14:paraId="28462251"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g) ¿Qué problemáticas puede tener la organización para llevar a cabo su labor?</w:t>
      </w:r>
    </w:p>
    <w:p w14:paraId="259F51A6"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Las problemáticas principales incluyen:</w:t>
      </w:r>
    </w:p>
    <w:p w14:paraId="6C0C0712" w14:textId="77777777" w:rsidR="00D326C2" w:rsidRPr="00D326C2" w:rsidRDefault="00D326C2" w:rsidP="004061E6">
      <w:pPr>
        <w:numPr>
          <w:ilvl w:val="0"/>
          <w:numId w:val="2"/>
        </w:numPr>
        <w:spacing w:line="480" w:lineRule="auto"/>
        <w:rPr>
          <w:rFonts w:ascii="Times New Roman" w:hAnsi="Times New Roman" w:cs="Times New Roman"/>
          <w:sz w:val="22"/>
          <w:szCs w:val="22"/>
        </w:rPr>
      </w:pPr>
      <w:r w:rsidRPr="00D326C2">
        <w:rPr>
          <w:rFonts w:ascii="Times New Roman" w:hAnsi="Times New Roman" w:cs="Times New Roman"/>
          <w:sz w:val="22"/>
          <w:szCs w:val="22"/>
        </w:rPr>
        <w:t>Dependencia Financiera: La necesidad constante de recaudación masiva y alianzas con donadores para sostener la operación de sus 26 centros y servicios especializados.</w:t>
      </w:r>
    </w:p>
    <w:p w14:paraId="24783F77" w14:textId="77777777" w:rsidR="00D326C2" w:rsidRPr="00D326C2" w:rsidRDefault="00D326C2" w:rsidP="004061E6">
      <w:pPr>
        <w:numPr>
          <w:ilvl w:val="0"/>
          <w:numId w:val="2"/>
        </w:numPr>
        <w:spacing w:line="480" w:lineRule="auto"/>
        <w:rPr>
          <w:rFonts w:ascii="Times New Roman" w:hAnsi="Times New Roman" w:cs="Times New Roman"/>
          <w:sz w:val="22"/>
          <w:szCs w:val="22"/>
        </w:rPr>
      </w:pPr>
      <w:r w:rsidRPr="00D326C2">
        <w:rPr>
          <w:rFonts w:ascii="Times New Roman" w:hAnsi="Times New Roman" w:cs="Times New Roman"/>
          <w:sz w:val="22"/>
          <w:szCs w:val="22"/>
        </w:rPr>
        <w:t>Críticas Sociales: El debate sobre si su modelo promueve una visión de "caridad" en lugar de una de "derechos", lo que puede afectar su imagen pública y la percepción de su labor.</w:t>
      </w:r>
    </w:p>
    <w:p w14:paraId="342790DF" w14:textId="77777777" w:rsidR="00D326C2" w:rsidRPr="00D326C2" w:rsidRDefault="00D326C2" w:rsidP="004061E6">
      <w:pPr>
        <w:numPr>
          <w:ilvl w:val="0"/>
          <w:numId w:val="2"/>
        </w:numPr>
        <w:spacing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Expansión y Cobertura: A pesar de su gran alcance, la cobertura sigue siendo un desafío en un país tan extenso como México.</w:t>
      </w:r>
    </w:p>
    <w:p w14:paraId="6CED9047" w14:textId="77777777" w:rsidR="00D326C2" w:rsidRPr="00D326C2" w:rsidRDefault="00D326C2" w:rsidP="004061E6">
      <w:pPr>
        <w:numPr>
          <w:ilvl w:val="0"/>
          <w:numId w:val="2"/>
        </w:numPr>
        <w:spacing w:line="480" w:lineRule="auto"/>
        <w:rPr>
          <w:rFonts w:ascii="Times New Roman" w:hAnsi="Times New Roman" w:cs="Times New Roman"/>
          <w:sz w:val="22"/>
          <w:szCs w:val="22"/>
        </w:rPr>
      </w:pPr>
      <w:r w:rsidRPr="00D326C2">
        <w:rPr>
          <w:rFonts w:ascii="Times New Roman" w:hAnsi="Times New Roman" w:cs="Times New Roman"/>
          <w:sz w:val="22"/>
          <w:szCs w:val="22"/>
        </w:rPr>
        <w:t>Retención de Donadores: Mantener la lealtad y compromiso de donadores a largo plazo es crítico para la sostenibilidad financiera de la organización.</w:t>
      </w:r>
    </w:p>
    <w:p w14:paraId="70C4E8C1"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h) ¿Cuál es la aportación que brinda los productos y evidencias realizadas en este bloque a la labor que lleva a cabo la organización?</w:t>
      </w:r>
    </w:p>
    <w:p w14:paraId="4D2222C8"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El análisis de calidad en el servicio aporta una evaluación cuantitativa de la experiencia de los donadores en su relación con la Fundación. Esto permite a Teletón:</w:t>
      </w:r>
    </w:p>
    <w:p w14:paraId="319D3770" w14:textId="77777777" w:rsidR="00D326C2" w:rsidRPr="00D326C2" w:rsidRDefault="00D326C2" w:rsidP="004061E6">
      <w:pPr>
        <w:numPr>
          <w:ilvl w:val="0"/>
          <w:numId w:val="3"/>
        </w:numPr>
        <w:spacing w:line="480" w:lineRule="auto"/>
        <w:rPr>
          <w:rFonts w:ascii="Times New Roman" w:hAnsi="Times New Roman" w:cs="Times New Roman"/>
          <w:sz w:val="22"/>
          <w:szCs w:val="22"/>
        </w:rPr>
      </w:pPr>
      <w:r w:rsidRPr="00D326C2">
        <w:rPr>
          <w:rFonts w:ascii="Times New Roman" w:hAnsi="Times New Roman" w:cs="Times New Roman"/>
          <w:sz w:val="22"/>
          <w:szCs w:val="22"/>
        </w:rPr>
        <w:t>Validar que el trato brindado a sus donadores cumple con estándares de excelencia en atención, empatía y profesionalismo.</w:t>
      </w:r>
    </w:p>
    <w:p w14:paraId="776482ED" w14:textId="77777777" w:rsidR="00D326C2" w:rsidRPr="00D326C2" w:rsidRDefault="00D326C2" w:rsidP="004061E6">
      <w:pPr>
        <w:numPr>
          <w:ilvl w:val="0"/>
          <w:numId w:val="3"/>
        </w:numPr>
        <w:spacing w:line="480" w:lineRule="auto"/>
        <w:rPr>
          <w:rFonts w:ascii="Times New Roman" w:hAnsi="Times New Roman" w:cs="Times New Roman"/>
          <w:sz w:val="22"/>
          <w:szCs w:val="22"/>
        </w:rPr>
      </w:pPr>
      <w:r w:rsidRPr="00D326C2">
        <w:rPr>
          <w:rFonts w:ascii="Times New Roman" w:hAnsi="Times New Roman" w:cs="Times New Roman"/>
          <w:sz w:val="22"/>
          <w:szCs w:val="22"/>
        </w:rPr>
        <w:t>Identificar dimensiones específicas del servicio que impactan la satisfacción y lealtad de los donadores (confiabilidad, empatía, capacidad de respuesta).</w:t>
      </w:r>
    </w:p>
    <w:p w14:paraId="65FFA3A0" w14:textId="77777777" w:rsidR="00D326C2" w:rsidRPr="00D326C2" w:rsidRDefault="00D326C2" w:rsidP="004061E6">
      <w:pPr>
        <w:numPr>
          <w:ilvl w:val="0"/>
          <w:numId w:val="3"/>
        </w:numPr>
        <w:spacing w:line="480" w:lineRule="auto"/>
        <w:rPr>
          <w:rFonts w:ascii="Times New Roman" w:hAnsi="Times New Roman" w:cs="Times New Roman"/>
          <w:sz w:val="22"/>
          <w:szCs w:val="22"/>
        </w:rPr>
      </w:pPr>
      <w:r w:rsidRPr="00D326C2">
        <w:rPr>
          <w:rFonts w:ascii="Times New Roman" w:hAnsi="Times New Roman" w:cs="Times New Roman"/>
          <w:sz w:val="22"/>
          <w:szCs w:val="22"/>
        </w:rPr>
        <w:t>Medir la relación entre años de fidelidad (antigüedad donando) y la percepción de calidad, permitiendo diseñar estrategias de retención y reconocimiento.</w:t>
      </w:r>
    </w:p>
    <w:p w14:paraId="1B350FC3" w14:textId="77777777" w:rsidR="00D326C2" w:rsidRPr="00D326C2" w:rsidRDefault="00D326C2" w:rsidP="004061E6">
      <w:pPr>
        <w:numPr>
          <w:ilvl w:val="0"/>
          <w:numId w:val="3"/>
        </w:numPr>
        <w:spacing w:line="480" w:lineRule="auto"/>
        <w:rPr>
          <w:rFonts w:ascii="Times New Roman" w:hAnsi="Times New Roman" w:cs="Times New Roman"/>
          <w:sz w:val="22"/>
          <w:szCs w:val="22"/>
        </w:rPr>
      </w:pPr>
      <w:r w:rsidRPr="00D326C2">
        <w:rPr>
          <w:rFonts w:ascii="Times New Roman" w:hAnsi="Times New Roman" w:cs="Times New Roman"/>
          <w:sz w:val="22"/>
          <w:szCs w:val="22"/>
        </w:rPr>
        <w:t>Fortalecer su argumento de transparencia y rendición de cuentas ante la comunidad de donadores, quienes son aliados estratégicos para la sostenibilidad de la misión.</w:t>
      </w:r>
    </w:p>
    <w:p w14:paraId="5DAA6F20"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i) ¿Cómo es que este reto contribuye a que la organización preste mejor su servicio a sus usuarios?</w:t>
      </w:r>
    </w:p>
    <w:p w14:paraId="6E75FCCF"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 xml:space="preserve">Este reto contribuye proporcionando información estratégica basada en datos sobre la experiencia del donador. Al comprender qué aspectos del servicio valoran más los donadores (empatía, cumplimiento de promesas, confiabilidad), qué dimensiones tienen mayor impacto en su satisfacción y lealtad, y si existe relación entre los años donando y la percepción de calidad, la organización puede optimizar la gestión de relaciones con donadores, diseñar estrategias de </w:t>
      </w:r>
      <w:r w:rsidRPr="00D326C2">
        <w:rPr>
          <w:rFonts w:ascii="Times New Roman" w:hAnsi="Times New Roman" w:cs="Times New Roman"/>
          <w:sz w:val="22"/>
          <w:szCs w:val="22"/>
        </w:rPr>
        <w:lastRenderedPageBreak/>
        <w:t>fidelización más efectivas, y asegurar que cada interacción refuerce el compromiso del donador con la misión de Teletón. Donadores satisfechos significan sostenibilidad financiera, lo que se traduce en mejor servicio a beneficiarios.</w:t>
      </w:r>
    </w:p>
    <w:p w14:paraId="3F707767"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j) ¿Cómo se abona para el ejercicio de sus derechos humanos y el respeto a su dignidad?</w:t>
      </w:r>
    </w:p>
    <w:p w14:paraId="58A17AF7"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Si bien los donadores no son el grupo vulnerable que Teletón atiende, el análisis de calidad en el servicio abona indirectamente al ejercicio de los derechos de los beneficiarios:</w:t>
      </w:r>
    </w:p>
    <w:p w14:paraId="45F739AF" w14:textId="77777777" w:rsidR="00D326C2" w:rsidRPr="00D326C2" w:rsidRDefault="00D326C2" w:rsidP="004061E6">
      <w:pPr>
        <w:numPr>
          <w:ilvl w:val="0"/>
          <w:numId w:val="4"/>
        </w:numPr>
        <w:spacing w:line="480" w:lineRule="auto"/>
        <w:rPr>
          <w:rFonts w:ascii="Times New Roman" w:hAnsi="Times New Roman" w:cs="Times New Roman"/>
          <w:sz w:val="22"/>
          <w:szCs w:val="22"/>
        </w:rPr>
      </w:pPr>
      <w:r w:rsidRPr="00D326C2">
        <w:rPr>
          <w:rFonts w:ascii="Times New Roman" w:hAnsi="Times New Roman" w:cs="Times New Roman"/>
          <w:sz w:val="22"/>
          <w:szCs w:val="22"/>
        </w:rPr>
        <w:t>Sostenibilidad Financiera: Donadores satisfechos mantienen y amplían su apoyo, garantizando recursos para la rehabilitación de niños con discapacidad.</w:t>
      </w:r>
    </w:p>
    <w:p w14:paraId="386CD441" w14:textId="77777777" w:rsidR="00D326C2" w:rsidRPr="00D326C2" w:rsidRDefault="00D326C2" w:rsidP="004061E6">
      <w:pPr>
        <w:numPr>
          <w:ilvl w:val="0"/>
          <w:numId w:val="4"/>
        </w:numPr>
        <w:spacing w:line="480" w:lineRule="auto"/>
        <w:rPr>
          <w:rFonts w:ascii="Times New Roman" w:hAnsi="Times New Roman" w:cs="Times New Roman"/>
          <w:sz w:val="22"/>
          <w:szCs w:val="22"/>
        </w:rPr>
      </w:pPr>
      <w:r w:rsidRPr="00D326C2">
        <w:rPr>
          <w:rFonts w:ascii="Times New Roman" w:hAnsi="Times New Roman" w:cs="Times New Roman"/>
          <w:sz w:val="22"/>
          <w:szCs w:val="22"/>
        </w:rPr>
        <w:t>Confianza y Transparencia: Un servicio de calidad hacia donadores refleja profesionalismo institucional, lo que se traduce en mejor gestión de recursos destinados a beneficiarios.</w:t>
      </w:r>
    </w:p>
    <w:p w14:paraId="421787BF" w14:textId="77777777" w:rsidR="00D326C2" w:rsidRPr="00D326C2" w:rsidRDefault="00D326C2" w:rsidP="004061E6">
      <w:pPr>
        <w:numPr>
          <w:ilvl w:val="0"/>
          <w:numId w:val="4"/>
        </w:numPr>
        <w:spacing w:line="480" w:lineRule="auto"/>
        <w:rPr>
          <w:rFonts w:ascii="Times New Roman" w:hAnsi="Times New Roman" w:cs="Times New Roman"/>
          <w:sz w:val="22"/>
          <w:szCs w:val="22"/>
        </w:rPr>
      </w:pPr>
      <w:r w:rsidRPr="00D326C2">
        <w:rPr>
          <w:rFonts w:ascii="Times New Roman" w:hAnsi="Times New Roman" w:cs="Times New Roman"/>
          <w:sz w:val="22"/>
          <w:szCs w:val="22"/>
        </w:rPr>
        <w:t>Círculo Virtuoso: La satisfacción del donador con el trato recibido refuerza su confianza en que los beneficiarios también reciben atención de excelencia, fortaleciendo el apoyo a largo plazo.</w:t>
      </w:r>
    </w:p>
    <w:p w14:paraId="1BBF84D4"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Un donador respetado y bien atendido es un aliado comprometido con la dignidad de las personas con discapacidad.</w:t>
      </w:r>
    </w:p>
    <w:p w14:paraId="1D5775B6"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k) ¿Cómo es que el resultado final de este reto puede favorecer al cumplimiento del Objetivo de Desarrollo Sostenible 16?</w:t>
      </w:r>
    </w:p>
    <w:p w14:paraId="3F4B7F8A"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El ODS 16 busca promover sociedades pacíficas e inclusivas y crear instituciones eficaces y responsables. El resultado de este reto favorece su cumplimiento al:</w:t>
      </w:r>
    </w:p>
    <w:p w14:paraId="4E68A25B" w14:textId="77777777" w:rsidR="00D326C2" w:rsidRPr="00D326C2" w:rsidRDefault="00D326C2" w:rsidP="004061E6">
      <w:pPr>
        <w:numPr>
          <w:ilvl w:val="0"/>
          <w:numId w:val="5"/>
        </w:numPr>
        <w:spacing w:line="480" w:lineRule="auto"/>
        <w:rPr>
          <w:rFonts w:ascii="Times New Roman" w:hAnsi="Times New Roman" w:cs="Times New Roman"/>
          <w:sz w:val="22"/>
          <w:szCs w:val="22"/>
        </w:rPr>
      </w:pPr>
      <w:r w:rsidRPr="00D326C2">
        <w:rPr>
          <w:rFonts w:ascii="Times New Roman" w:hAnsi="Times New Roman" w:cs="Times New Roman"/>
          <w:sz w:val="22"/>
          <w:szCs w:val="22"/>
        </w:rPr>
        <w:t>Fomentar la Inclusión: Al identificar y proponer acciones para mejorar la calidad del servicio hacia donadores, se asegura que la interacción con la Fundación sea positiva, reforzando el mensaje de una sociedad inclusiva y fortaleciendo la red de aliados que apoyan la causa de las personas con discapacidad.</w:t>
      </w:r>
    </w:p>
    <w:p w14:paraId="1F295301" w14:textId="77777777" w:rsidR="00D326C2" w:rsidRPr="00D326C2" w:rsidRDefault="00D326C2" w:rsidP="004061E6">
      <w:pPr>
        <w:numPr>
          <w:ilvl w:val="0"/>
          <w:numId w:val="5"/>
        </w:numPr>
        <w:spacing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Promover la Responsabilidad Institucional: El análisis estadístico es una herramienta de rendición de cuentas y transparencia (Teletón Abierto), demostrando que la Fundación utiliza datos para evaluar y mejorar su gestión de relaciones con donadores, lo cual es un pilar de las instituciones sólidas y responsables. La profesionalización en la atención al donador refleja gobernanza efectiva.</w:t>
      </w:r>
    </w:p>
    <w:p w14:paraId="0F620DF4" w14:textId="0CDF6342" w:rsidR="00D326C2" w:rsidRPr="00D326C2" w:rsidRDefault="00D326C2" w:rsidP="004061E6">
      <w:pPr>
        <w:spacing w:line="480" w:lineRule="auto"/>
        <w:rPr>
          <w:rFonts w:ascii="Times New Roman" w:hAnsi="Times New Roman" w:cs="Times New Roman"/>
          <w:sz w:val="22"/>
          <w:szCs w:val="22"/>
        </w:rPr>
      </w:pPr>
    </w:p>
    <w:p w14:paraId="3FBE1325" w14:textId="2378B611"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2. Entrega de Tableros de Visualizac</w:t>
      </w:r>
      <w:r w:rsidR="00CC7BD2" w:rsidRPr="004061E6">
        <w:rPr>
          <w:rFonts w:ascii="Times New Roman" w:hAnsi="Times New Roman" w:cs="Times New Roman"/>
          <w:b/>
          <w:bCs/>
          <w:sz w:val="22"/>
          <w:szCs w:val="22"/>
        </w:rPr>
        <w:t>ión</w:t>
      </w:r>
    </w:p>
    <w:p w14:paraId="79F1538C" w14:textId="77777777" w:rsid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A continuación, se presentan los tableros de visualización generados a partir de la evidencia previa, que muestran la media del Índice de Servicio por el tipo de donador (Giro) y por los años de relación con Teletón.</w:t>
      </w:r>
    </w:p>
    <w:p w14:paraId="72C549C1" w14:textId="77777777" w:rsidR="00857931" w:rsidRDefault="00857931" w:rsidP="004061E6">
      <w:pPr>
        <w:spacing w:line="480" w:lineRule="auto"/>
        <w:rPr>
          <w:rFonts w:ascii="Times New Roman" w:hAnsi="Times New Roman" w:cs="Times New Roman"/>
          <w:sz w:val="22"/>
          <w:szCs w:val="22"/>
        </w:rPr>
      </w:pPr>
    </w:p>
    <w:p w14:paraId="6BE230DC" w14:textId="77777777" w:rsidR="00857931" w:rsidRPr="00D326C2" w:rsidRDefault="00857931" w:rsidP="004061E6">
      <w:pPr>
        <w:spacing w:line="480" w:lineRule="auto"/>
        <w:rPr>
          <w:rFonts w:ascii="Times New Roman" w:hAnsi="Times New Roman" w:cs="Times New Roman"/>
          <w:sz w:val="22"/>
          <w:szCs w:val="22"/>
        </w:rPr>
      </w:pPr>
    </w:p>
    <w:p w14:paraId="3A1F0B49" w14:textId="48479EE2" w:rsid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Gráfico 1: Media del Índice de Servicio por Tipo de Donador</w:t>
      </w:r>
      <w:r w:rsidR="00857931">
        <w:rPr>
          <w:rFonts w:ascii="Times New Roman" w:hAnsi="Times New Roman" w:cs="Times New Roman"/>
          <w:b/>
          <w:bCs/>
          <w:sz w:val="22"/>
          <w:szCs w:val="22"/>
        </w:rPr>
        <w:t>.</w:t>
      </w:r>
    </w:p>
    <w:p w14:paraId="4CAE2733" w14:textId="3BC9512A" w:rsidR="00857931" w:rsidRPr="00D326C2" w:rsidRDefault="00857931" w:rsidP="004061E6">
      <w:pPr>
        <w:spacing w:line="480" w:lineRule="auto"/>
        <w:rPr>
          <w:rFonts w:ascii="Times New Roman" w:hAnsi="Times New Roman" w:cs="Times New Roman"/>
          <w:sz w:val="22"/>
          <w:szCs w:val="22"/>
        </w:rPr>
      </w:pPr>
      <w:r w:rsidRPr="00857931">
        <w:rPr>
          <w:rFonts w:ascii="Times New Roman" w:hAnsi="Times New Roman" w:cs="Times New Roman"/>
          <w:sz w:val="22"/>
          <w:szCs w:val="22"/>
        </w:rPr>
        <w:drawing>
          <wp:inline distT="0" distB="0" distL="0" distR="0" wp14:anchorId="353B7FD1" wp14:editId="46A33A4F">
            <wp:extent cx="5296639" cy="3267531"/>
            <wp:effectExtent l="0" t="0" r="0" b="9525"/>
            <wp:docPr id="1995433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3333" name=""/>
                    <pic:cNvPicPr/>
                  </pic:nvPicPr>
                  <pic:blipFill>
                    <a:blip r:embed="rId6"/>
                    <a:stretch>
                      <a:fillRect/>
                    </a:stretch>
                  </pic:blipFill>
                  <pic:spPr>
                    <a:xfrm>
                      <a:off x="0" y="0"/>
                      <a:ext cx="5296639" cy="3267531"/>
                    </a:xfrm>
                    <a:prstGeom prst="rect">
                      <a:avLst/>
                    </a:prstGeom>
                  </pic:spPr>
                </pic:pic>
              </a:graphicData>
            </a:graphic>
          </wp:inline>
        </w:drawing>
      </w:r>
    </w:p>
    <w:p w14:paraId="5400B8E0" w14:textId="64A0ADDA"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lastRenderedPageBreak/>
        <w:t xml:space="preserve">Gráfico 2: Media del Índice de Servicio por Años de Relación con </w:t>
      </w:r>
      <w:r w:rsidR="00857931" w:rsidRPr="00857931">
        <w:rPr>
          <w:rFonts w:ascii="Times New Roman" w:hAnsi="Times New Roman" w:cs="Times New Roman"/>
          <w:b/>
          <w:bCs/>
          <w:sz w:val="22"/>
          <w:szCs w:val="22"/>
        </w:rPr>
        <w:drawing>
          <wp:inline distT="0" distB="0" distL="0" distR="0" wp14:anchorId="033A80A8" wp14:editId="518F5A8C">
            <wp:extent cx="5612130" cy="3385820"/>
            <wp:effectExtent l="0" t="0" r="7620" b="5080"/>
            <wp:docPr id="136765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9004" name=""/>
                    <pic:cNvPicPr/>
                  </pic:nvPicPr>
                  <pic:blipFill>
                    <a:blip r:embed="rId7"/>
                    <a:stretch>
                      <a:fillRect/>
                    </a:stretch>
                  </pic:blipFill>
                  <pic:spPr>
                    <a:xfrm>
                      <a:off x="0" y="0"/>
                      <a:ext cx="5612130" cy="3385820"/>
                    </a:xfrm>
                    <a:prstGeom prst="rect">
                      <a:avLst/>
                    </a:prstGeom>
                  </pic:spPr>
                </pic:pic>
              </a:graphicData>
            </a:graphic>
          </wp:inline>
        </w:drawing>
      </w:r>
    </w:p>
    <w:p w14:paraId="3AC13C8C" w14:textId="5B2F248E" w:rsidR="00D326C2" w:rsidRPr="00D326C2" w:rsidRDefault="00D326C2" w:rsidP="004061E6">
      <w:pPr>
        <w:spacing w:line="480" w:lineRule="auto"/>
        <w:rPr>
          <w:rFonts w:ascii="Times New Roman" w:hAnsi="Times New Roman" w:cs="Times New Roman"/>
          <w:sz w:val="22"/>
          <w:szCs w:val="22"/>
        </w:rPr>
      </w:pPr>
    </w:p>
    <w:p w14:paraId="223C922A"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3. Medidas de Tendencia Central y Dispersión por Pregunta</w:t>
      </w:r>
    </w:p>
    <w:p w14:paraId="08C01DCB" w14:textId="77777777" w:rsidR="00D326C2" w:rsidRPr="004061E6"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El análisis de las medidas de tendencia central y dispersión para las preguntas individuales (escala 1 a 5) revela una percepción de servicio consistentemente alta, con la mayoría de las medias cercanas o superiores a 3.6 y medianas en 4.0. Las preguntas relacionadas con la Empatía (E_1, E_2, E_3) son las mejor evaluadas por los donadores, con medias cercanas a 4.0.</w:t>
      </w:r>
    </w:p>
    <w:p w14:paraId="1571F7B4" w14:textId="77777777" w:rsidR="00CC7BD2" w:rsidRPr="00D326C2" w:rsidRDefault="00CC7BD2" w:rsidP="004061E6">
      <w:pPr>
        <w:spacing w:line="480" w:lineRule="auto"/>
        <w:rPr>
          <w:rFonts w:ascii="Times New Roman" w:hAnsi="Times New Roman" w:cs="Times New Roman"/>
          <w:sz w:val="22"/>
          <w:szCs w:val="22"/>
        </w:rPr>
      </w:pPr>
    </w:p>
    <w:tbl>
      <w:tblPr>
        <w:tblStyle w:val="Tablanormal1"/>
        <w:tblW w:w="0" w:type="auto"/>
        <w:tblLook w:val="04A0" w:firstRow="1" w:lastRow="0" w:firstColumn="1" w:lastColumn="0" w:noHBand="0" w:noVBand="1"/>
      </w:tblPr>
      <w:tblGrid>
        <w:gridCol w:w="2093"/>
        <w:gridCol w:w="931"/>
        <w:gridCol w:w="1048"/>
        <w:gridCol w:w="2154"/>
        <w:gridCol w:w="962"/>
        <w:gridCol w:w="999"/>
      </w:tblGrid>
      <w:tr w:rsidR="00D326C2" w:rsidRPr="00D326C2" w14:paraId="3297B839" w14:textId="77777777" w:rsidTr="00CC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A1A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Pregunta</w:t>
            </w:r>
          </w:p>
        </w:tc>
        <w:tc>
          <w:tcPr>
            <w:tcW w:w="0" w:type="auto"/>
            <w:hideMark/>
          </w:tcPr>
          <w:p w14:paraId="369C6FC3"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Media</w:t>
            </w:r>
          </w:p>
        </w:tc>
        <w:tc>
          <w:tcPr>
            <w:tcW w:w="0" w:type="auto"/>
            <w:hideMark/>
          </w:tcPr>
          <w:p w14:paraId="2A785040"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Mediana</w:t>
            </w:r>
          </w:p>
        </w:tc>
        <w:tc>
          <w:tcPr>
            <w:tcW w:w="0" w:type="auto"/>
            <w:hideMark/>
          </w:tcPr>
          <w:p w14:paraId="64AB7ADE"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Desviación Estándar</w:t>
            </w:r>
          </w:p>
        </w:tc>
        <w:tc>
          <w:tcPr>
            <w:tcW w:w="0" w:type="auto"/>
            <w:hideMark/>
          </w:tcPr>
          <w:p w14:paraId="21958BC3"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Mínimo</w:t>
            </w:r>
          </w:p>
        </w:tc>
        <w:tc>
          <w:tcPr>
            <w:tcW w:w="0" w:type="auto"/>
            <w:hideMark/>
          </w:tcPr>
          <w:p w14:paraId="011F8E03"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Máximo</w:t>
            </w:r>
          </w:p>
        </w:tc>
      </w:tr>
      <w:tr w:rsidR="00D326C2" w:rsidRPr="00D326C2" w14:paraId="77196C2C"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31FDB"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AT_1 (Atención)</w:t>
            </w:r>
          </w:p>
        </w:tc>
        <w:tc>
          <w:tcPr>
            <w:tcW w:w="0" w:type="auto"/>
            <w:hideMark/>
          </w:tcPr>
          <w:p w14:paraId="1E69B59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3.79562</w:t>
            </w:r>
          </w:p>
        </w:tc>
        <w:tc>
          <w:tcPr>
            <w:tcW w:w="0" w:type="auto"/>
            <w:hideMark/>
          </w:tcPr>
          <w:p w14:paraId="586742D2"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0C7B5666"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0.848517</w:t>
            </w:r>
          </w:p>
        </w:tc>
        <w:tc>
          <w:tcPr>
            <w:tcW w:w="0" w:type="auto"/>
            <w:hideMark/>
          </w:tcPr>
          <w:p w14:paraId="72AE2DF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1F255ACF"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707758DF"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2557BDEF"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AT_2 (Atención)</w:t>
            </w:r>
          </w:p>
        </w:tc>
        <w:tc>
          <w:tcPr>
            <w:tcW w:w="0" w:type="auto"/>
            <w:hideMark/>
          </w:tcPr>
          <w:p w14:paraId="321E4DAC"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3.57664</w:t>
            </w:r>
          </w:p>
        </w:tc>
        <w:tc>
          <w:tcPr>
            <w:tcW w:w="0" w:type="auto"/>
            <w:hideMark/>
          </w:tcPr>
          <w:p w14:paraId="4F967CC6"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5B3DA819"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0.708118</w:t>
            </w:r>
          </w:p>
        </w:tc>
        <w:tc>
          <w:tcPr>
            <w:tcW w:w="0" w:type="auto"/>
            <w:hideMark/>
          </w:tcPr>
          <w:p w14:paraId="67669DB2"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66BCB4F7"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0465F261"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9477E"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FI_1 (Fiabilidad)</w:t>
            </w:r>
          </w:p>
        </w:tc>
        <w:tc>
          <w:tcPr>
            <w:tcW w:w="0" w:type="auto"/>
            <w:hideMark/>
          </w:tcPr>
          <w:p w14:paraId="6C58769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3.55839</w:t>
            </w:r>
          </w:p>
        </w:tc>
        <w:tc>
          <w:tcPr>
            <w:tcW w:w="0" w:type="auto"/>
            <w:hideMark/>
          </w:tcPr>
          <w:p w14:paraId="18C9E26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13FEA28B"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0.694209</w:t>
            </w:r>
          </w:p>
        </w:tc>
        <w:tc>
          <w:tcPr>
            <w:tcW w:w="0" w:type="auto"/>
            <w:hideMark/>
          </w:tcPr>
          <w:p w14:paraId="2AAE7947"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026F56E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48018E43"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56101C86"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FI_2 (Fiabilidad)</w:t>
            </w:r>
          </w:p>
        </w:tc>
        <w:tc>
          <w:tcPr>
            <w:tcW w:w="0" w:type="auto"/>
            <w:hideMark/>
          </w:tcPr>
          <w:p w14:paraId="432334BC"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3.63504</w:t>
            </w:r>
          </w:p>
        </w:tc>
        <w:tc>
          <w:tcPr>
            <w:tcW w:w="0" w:type="auto"/>
            <w:hideMark/>
          </w:tcPr>
          <w:p w14:paraId="38AAE8B7"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0FAE74D9"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0.744955</w:t>
            </w:r>
          </w:p>
        </w:tc>
        <w:tc>
          <w:tcPr>
            <w:tcW w:w="0" w:type="auto"/>
            <w:hideMark/>
          </w:tcPr>
          <w:p w14:paraId="32C55D6F"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589E326E"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1B5F4966"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B742E"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FI_3 (Fiabilidad)</w:t>
            </w:r>
          </w:p>
        </w:tc>
        <w:tc>
          <w:tcPr>
            <w:tcW w:w="0" w:type="auto"/>
            <w:hideMark/>
          </w:tcPr>
          <w:p w14:paraId="786512B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3.63004</w:t>
            </w:r>
          </w:p>
        </w:tc>
        <w:tc>
          <w:tcPr>
            <w:tcW w:w="0" w:type="auto"/>
            <w:hideMark/>
          </w:tcPr>
          <w:p w14:paraId="588C59E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1B613E19"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0.646352</w:t>
            </w:r>
          </w:p>
        </w:tc>
        <w:tc>
          <w:tcPr>
            <w:tcW w:w="0" w:type="auto"/>
            <w:hideMark/>
          </w:tcPr>
          <w:p w14:paraId="7C97F662"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6CD3FB5E"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69DCEDCF"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318F9876"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R_1 (Respuesta)</w:t>
            </w:r>
          </w:p>
        </w:tc>
        <w:tc>
          <w:tcPr>
            <w:tcW w:w="0" w:type="auto"/>
            <w:hideMark/>
          </w:tcPr>
          <w:p w14:paraId="6CD8A881"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3.59854</w:t>
            </w:r>
          </w:p>
        </w:tc>
        <w:tc>
          <w:tcPr>
            <w:tcW w:w="0" w:type="auto"/>
            <w:hideMark/>
          </w:tcPr>
          <w:p w14:paraId="4EC53B3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7F7CE160"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0.668056</w:t>
            </w:r>
          </w:p>
        </w:tc>
        <w:tc>
          <w:tcPr>
            <w:tcW w:w="0" w:type="auto"/>
            <w:hideMark/>
          </w:tcPr>
          <w:p w14:paraId="74DF1582"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2</w:t>
            </w:r>
          </w:p>
        </w:tc>
        <w:tc>
          <w:tcPr>
            <w:tcW w:w="0" w:type="auto"/>
            <w:hideMark/>
          </w:tcPr>
          <w:p w14:paraId="2D49235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47F921F8"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C030D"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R_2 (Respuesta)</w:t>
            </w:r>
          </w:p>
        </w:tc>
        <w:tc>
          <w:tcPr>
            <w:tcW w:w="0" w:type="auto"/>
            <w:hideMark/>
          </w:tcPr>
          <w:p w14:paraId="0B2DF64C"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3.58394</w:t>
            </w:r>
          </w:p>
        </w:tc>
        <w:tc>
          <w:tcPr>
            <w:tcW w:w="0" w:type="auto"/>
            <w:hideMark/>
          </w:tcPr>
          <w:p w14:paraId="7D4E7CA6"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4710F19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0.771681</w:t>
            </w:r>
          </w:p>
        </w:tc>
        <w:tc>
          <w:tcPr>
            <w:tcW w:w="0" w:type="auto"/>
            <w:hideMark/>
          </w:tcPr>
          <w:p w14:paraId="7011802D"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6A6F396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11E83CA4"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3B98F7DE"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R_3 (Respuesta)</w:t>
            </w:r>
          </w:p>
        </w:tc>
        <w:tc>
          <w:tcPr>
            <w:tcW w:w="0" w:type="auto"/>
            <w:hideMark/>
          </w:tcPr>
          <w:p w14:paraId="7669D224"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3.62409</w:t>
            </w:r>
          </w:p>
        </w:tc>
        <w:tc>
          <w:tcPr>
            <w:tcW w:w="0" w:type="auto"/>
            <w:hideMark/>
          </w:tcPr>
          <w:p w14:paraId="54AFAEC1"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72D00FBB"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0.716833</w:t>
            </w:r>
          </w:p>
        </w:tc>
        <w:tc>
          <w:tcPr>
            <w:tcW w:w="0" w:type="auto"/>
            <w:hideMark/>
          </w:tcPr>
          <w:p w14:paraId="32F86F2C"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7FCDB6BC"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78D15EE7"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1A40"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E_1 (Empatía)</w:t>
            </w:r>
          </w:p>
        </w:tc>
        <w:tc>
          <w:tcPr>
            <w:tcW w:w="0" w:type="auto"/>
            <w:hideMark/>
          </w:tcPr>
          <w:p w14:paraId="48DAC558"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3.99635</w:t>
            </w:r>
          </w:p>
        </w:tc>
        <w:tc>
          <w:tcPr>
            <w:tcW w:w="0" w:type="auto"/>
            <w:hideMark/>
          </w:tcPr>
          <w:p w14:paraId="0BD18E60"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014F9E58"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0.66574</w:t>
            </w:r>
          </w:p>
        </w:tc>
        <w:tc>
          <w:tcPr>
            <w:tcW w:w="0" w:type="auto"/>
            <w:hideMark/>
          </w:tcPr>
          <w:p w14:paraId="667A428D"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7B57F7FB"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2AC6820E"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1332B48A"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E_2 (Empatía)</w:t>
            </w:r>
          </w:p>
        </w:tc>
        <w:tc>
          <w:tcPr>
            <w:tcW w:w="0" w:type="auto"/>
            <w:hideMark/>
          </w:tcPr>
          <w:p w14:paraId="1B44C5E9"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3.9708</w:t>
            </w:r>
          </w:p>
        </w:tc>
        <w:tc>
          <w:tcPr>
            <w:tcW w:w="0" w:type="auto"/>
            <w:hideMark/>
          </w:tcPr>
          <w:p w14:paraId="386942D4"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393587EC"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0.673318</w:t>
            </w:r>
          </w:p>
        </w:tc>
        <w:tc>
          <w:tcPr>
            <w:tcW w:w="0" w:type="auto"/>
            <w:hideMark/>
          </w:tcPr>
          <w:p w14:paraId="55AC3875"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2</w:t>
            </w:r>
          </w:p>
        </w:tc>
        <w:tc>
          <w:tcPr>
            <w:tcW w:w="0" w:type="auto"/>
            <w:hideMark/>
          </w:tcPr>
          <w:p w14:paraId="4AFEC488"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676A4A45"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8151A"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E_3 (Empatía)</w:t>
            </w:r>
          </w:p>
        </w:tc>
        <w:tc>
          <w:tcPr>
            <w:tcW w:w="0" w:type="auto"/>
            <w:hideMark/>
          </w:tcPr>
          <w:p w14:paraId="45CE3AE5"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3.9562</w:t>
            </w:r>
          </w:p>
        </w:tc>
        <w:tc>
          <w:tcPr>
            <w:tcW w:w="0" w:type="auto"/>
            <w:hideMark/>
          </w:tcPr>
          <w:p w14:paraId="13B642B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522AA3C0"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0.714769</w:t>
            </w:r>
          </w:p>
        </w:tc>
        <w:tc>
          <w:tcPr>
            <w:tcW w:w="0" w:type="auto"/>
            <w:hideMark/>
          </w:tcPr>
          <w:p w14:paraId="48D8CFD8"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2</w:t>
            </w:r>
          </w:p>
        </w:tc>
        <w:tc>
          <w:tcPr>
            <w:tcW w:w="0" w:type="auto"/>
            <w:hideMark/>
          </w:tcPr>
          <w:p w14:paraId="40AA7C2B"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3380CFFE"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73B0324C"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E_4 (Empatía)</w:t>
            </w:r>
          </w:p>
        </w:tc>
        <w:tc>
          <w:tcPr>
            <w:tcW w:w="0" w:type="auto"/>
            <w:hideMark/>
          </w:tcPr>
          <w:p w14:paraId="498689C4"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3.70073</w:t>
            </w:r>
          </w:p>
        </w:tc>
        <w:tc>
          <w:tcPr>
            <w:tcW w:w="0" w:type="auto"/>
            <w:hideMark/>
          </w:tcPr>
          <w:p w14:paraId="495FFD4B"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0284FEF7"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0.6615</w:t>
            </w:r>
          </w:p>
        </w:tc>
        <w:tc>
          <w:tcPr>
            <w:tcW w:w="0" w:type="auto"/>
            <w:hideMark/>
          </w:tcPr>
          <w:p w14:paraId="4335FF9B"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099BA7CB"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r w:rsidR="00D326C2" w:rsidRPr="00D326C2" w14:paraId="30610CE6"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8146B"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D_1 (Dimensión)</w:t>
            </w:r>
          </w:p>
        </w:tc>
        <w:tc>
          <w:tcPr>
            <w:tcW w:w="0" w:type="auto"/>
            <w:hideMark/>
          </w:tcPr>
          <w:p w14:paraId="03F44236"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7.72993</w:t>
            </w:r>
          </w:p>
        </w:tc>
        <w:tc>
          <w:tcPr>
            <w:tcW w:w="0" w:type="auto"/>
            <w:hideMark/>
          </w:tcPr>
          <w:p w14:paraId="4C9CD67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8</w:t>
            </w:r>
          </w:p>
        </w:tc>
        <w:tc>
          <w:tcPr>
            <w:tcW w:w="0" w:type="auto"/>
            <w:hideMark/>
          </w:tcPr>
          <w:p w14:paraId="37DCDD6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0.851662</w:t>
            </w:r>
          </w:p>
        </w:tc>
        <w:tc>
          <w:tcPr>
            <w:tcW w:w="0" w:type="auto"/>
            <w:hideMark/>
          </w:tcPr>
          <w:p w14:paraId="2F25FB5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6</w:t>
            </w:r>
          </w:p>
        </w:tc>
        <w:tc>
          <w:tcPr>
            <w:tcW w:w="0" w:type="auto"/>
            <w:hideMark/>
          </w:tcPr>
          <w:p w14:paraId="5F28841C"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10</w:t>
            </w:r>
          </w:p>
        </w:tc>
      </w:tr>
      <w:tr w:rsidR="00D326C2" w:rsidRPr="00D326C2" w14:paraId="1A34B352"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1638AE85"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R_12 (Dimensión)</w:t>
            </w:r>
          </w:p>
        </w:tc>
        <w:tc>
          <w:tcPr>
            <w:tcW w:w="0" w:type="auto"/>
            <w:hideMark/>
          </w:tcPr>
          <w:p w14:paraId="178BEB6D"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8.43066</w:t>
            </w:r>
          </w:p>
        </w:tc>
        <w:tc>
          <w:tcPr>
            <w:tcW w:w="0" w:type="auto"/>
            <w:hideMark/>
          </w:tcPr>
          <w:p w14:paraId="6DD37688"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8</w:t>
            </w:r>
          </w:p>
        </w:tc>
        <w:tc>
          <w:tcPr>
            <w:tcW w:w="0" w:type="auto"/>
            <w:hideMark/>
          </w:tcPr>
          <w:p w14:paraId="6477399D"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0.602749</w:t>
            </w:r>
          </w:p>
        </w:tc>
        <w:tc>
          <w:tcPr>
            <w:tcW w:w="0" w:type="auto"/>
            <w:hideMark/>
          </w:tcPr>
          <w:p w14:paraId="4CEA1FC4"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6</w:t>
            </w:r>
          </w:p>
        </w:tc>
        <w:tc>
          <w:tcPr>
            <w:tcW w:w="0" w:type="auto"/>
            <w:hideMark/>
          </w:tcPr>
          <w:p w14:paraId="4CD172FA"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10</w:t>
            </w:r>
          </w:p>
        </w:tc>
      </w:tr>
      <w:tr w:rsidR="00D326C2" w:rsidRPr="00D326C2" w14:paraId="75FE492C"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003BD"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C_1 (Confiabilidad)</w:t>
            </w:r>
          </w:p>
        </w:tc>
        <w:tc>
          <w:tcPr>
            <w:tcW w:w="0" w:type="auto"/>
            <w:hideMark/>
          </w:tcPr>
          <w:p w14:paraId="312C5748"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3.63139</w:t>
            </w:r>
          </w:p>
        </w:tc>
        <w:tc>
          <w:tcPr>
            <w:tcW w:w="0" w:type="auto"/>
            <w:hideMark/>
          </w:tcPr>
          <w:p w14:paraId="0D1D351C"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w:t>
            </w:r>
          </w:p>
        </w:tc>
        <w:tc>
          <w:tcPr>
            <w:tcW w:w="0" w:type="auto"/>
            <w:hideMark/>
          </w:tcPr>
          <w:p w14:paraId="348B1F6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0.735719</w:t>
            </w:r>
          </w:p>
        </w:tc>
        <w:tc>
          <w:tcPr>
            <w:tcW w:w="0" w:type="auto"/>
            <w:hideMark/>
          </w:tcPr>
          <w:p w14:paraId="583FAC85"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w:t>
            </w:r>
          </w:p>
        </w:tc>
        <w:tc>
          <w:tcPr>
            <w:tcW w:w="0" w:type="auto"/>
            <w:hideMark/>
          </w:tcPr>
          <w:p w14:paraId="1DCA53D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r>
    </w:tbl>
    <w:p w14:paraId="374A0B6E" w14:textId="60B26216" w:rsidR="00D326C2" w:rsidRPr="00D326C2" w:rsidRDefault="00D326C2" w:rsidP="004061E6">
      <w:pPr>
        <w:spacing w:line="480" w:lineRule="auto"/>
        <w:rPr>
          <w:rFonts w:ascii="Times New Roman" w:hAnsi="Times New Roman" w:cs="Times New Roman"/>
          <w:sz w:val="22"/>
          <w:szCs w:val="22"/>
        </w:rPr>
      </w:pPr>
    </w:p>
    <w:p w14:paraId="2EA54AE9"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4. Prueba de Hipótesis para el Cumplimiento de un Estándar Organizacional</w:t>
      </w:r>
    </w:p>
    <w:p w14:paraId="16379F38"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Estándar Organizacional Relevante:</w:t>
      </w:r>
      <w:r w:rsidRPr="00D326C2">
        <w:rPr>
          <w:rFonts w:ascii="Times New Roman" w:hAnsi="Times New Roman" w:cs="Times New Roman"/>
          <w:sz w:val="22"/>
          <w:szCs w:val="22"/>
        </w:rPr>
        <w:t xml:space="preserve"> El estándar de calidad en el servicio hacia donadores de Teletón es considerado "bueno" si el Índice de Servicio promedio es superior a 4.0 (en una escala de 5).</w:t>
      </w:r>
    </w:p>
    <w:p w14:paraId="6EE3E143"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Hipótesis:</w:t>
      </w:r>
    </w:p>
    <w:p w14:paraId="3745B0D7" w14:textId="77777777" w:rsidR="00D326C2" w:rsidRPr="00D326C2" w:rsidRDefault="00D326C2" w:rsidP="004061E6">
      <w:pPr>
        <w:numPr>
          <w:ilvl w:val="0"/>
          <w:numId w:val="6"/>
        </w:numPr>
        <w:spacing w:line="480" w:lineRule="auto"/>
        <w:rPr>
          <w:rFonts w:ascii="Times New Roman" w:hAnsi="Times New Roman" w:cs="Times New Roman"/>
          <w:sz w:val="22"/>
          <w:szCs w:val="22"/>
        </w:rPr>
      </w:pPr>
      <w:r w:rsidRPr="00D326C2">
        <w:rPr>
          <w:rFonts w:ascii="Times New Roman" w:hAnsi="Times New Roman" w:cs="Times New Roman"/>
          <w:sz w:val="22"/>
          <w:szCs w:val="22"/>
        </w:rPr>
        <w:t>Hipótesis Nula (H₀): La media del Índice de Servicio es menor o igual a 4.0 (μ ≤ 4.0).</w:t>
      </w:r>
    </w:p>
    <w:p w14:paraId="079DF85C" w14:textId="77777777" w:rsidR="00D326C2" w:rsidRPr="00D326C2" w:rsidRDefault="00D326C2" w:rsidP="004061E6">
      <w:pPr>
        <w:numPr>
          <w:ilvl w:val="0"/>
          <w:numId w:val="6"/>
        </w:numPr>
        <w:spacing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Hipótesis Alterna (Hₐ): La media del Índice de Servicio es mayor a 4.0 (μ &gt; 4.0).</w:t>
      </w:r>
    </w:p>
    <w:p w14:paraId="524D8324"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Resultado del T-Test para una muestra (unilateral):</w:t>
      </w:r>
    </w:p>
    <w:p w14:paraId="02ACCBE1" w14:textId="77777777" w:rsidR="00D326C2" w:rsidRPr="00D326C2" w:rsidRDefault="00D326C2" w:rsidP="004061E6">
      <w:pPr>
        <w:numPr>
          <w:ilvl w:val="0"/>
          <w:numId w:val="7"/>
        </w:numPr>
        <w:spacing w:line="480" w:lineRule="auto"/>
        <w:rPr>
          <w:rFonts w:ascii="Times New Roman" w:hAnsi="Times New Roman" w:cs="Times New Roman"/>
          <w:sz w:val="22"/>
          <w:szCs w:val="22"/>
        </w:rPr>
      </w:pPr>
      <w:r w:rsidRPr="00D326C2">
        <w:rPr>
          <w:rFonts w:ascii="Times New Roman" w:hAnsi="Times New Roman" w:cs="Times New Roman"/>
          <w:sz w:val="22"/>
          <w:szCs w:val="22"/>
        </w:rPr>
        <w:t>Estadístico T: 12.599</w:t>
      </w:r>
    </w:p>
    <w:p w14:paraId="3A163B60" w14:textId="77777777" w:rsidR="00D326C2" w:rsidRPr="00D326C2" w:rsidRDefault="00D326C2" w:rsidP="004061E6">
      <w:pPr>
        <w:numPr>
          <w:ilvl w:val="0"/>
          <w:numId w:val="7"/>
        </w:numPr>
        <w:spacing w:line="480" w:lineRule="auto"/>
        <w:rPr>
          <w:rFonts w:ascii="Times New Roman" w:hAnsi="Times New Roman" w:cs="Times New Roman"/>
          <w:sz w:val="22"/>
          <w:szCs w:val="22"/>
        </w:rPr>
      </w:pPr>
      <w:r w:rsidRPr="00D326C2">
        <w:rPr>
          <w:rFonts w:ascii="Times New Roman" w:hAnsi="Times New Roman" w:cs="Times New Roman"/>
          <w:sz w:val="22"/>
          <w:szCs w:val="22"/>
        </w:rPr>
        <w:t>Valor p: 2.66 × 10⁻²⁹</w:t>
      </w:r>
    </w:p>
    <w:p w14:paraId="01F0940B"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Conclusión:</w:t>
      </w:r>
      <w:r w:rsidRPr="00D326C2">
        <w:rPr>
          <w:rFonts w:ascii="Times New Roman" w:hAnsi="Times New Roman" w:cs="Times New Roman"/>
          <w:sz w:val="22"/>
          <w:szCs w:val="22"/>
        </w:rPr>
        <w:t xml:space="preserve"> Dado que el valor p (2.66 × 10⁻²⁹) es significativamente menor que el nivel de significancia común (α = 0.05), se rechaza la hipótesis nula (H₀).</w:t>
      </w:r>
    </w:p>
    <w:p w14:paraId="056C1D07"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Interpretación:</w:t>
      </w:r>
      <w:r w:rsidRPr="00D326C2">
        <w:rPr>
          <w:rFonts w:ascii="Times New Roman" w:hAnsi="Times New Roman" w:cs="Times New Roman"/>
          <w:sz w:val="22"/>
          <w:szCs w:val="22"/>
        </w:rPr>
        <w:t xml:space="preserve"> Existe evidencia estadística sólida para concluir que la media del Índice de Servicio de Teletón hacia sus donadores es significativamente mayor a 4.0. Esto valida que la organización no solo cumple, sino que supera el estándar de calidad establecido como "bueno" en la percepción de sus donadores.</w:t>
      </w:r>
    </w:p>
    <w:p w14:paraId="1FA23D69" w14:textId="74286513" w:rsidR="00D326C2" w:rsidRPr="00D326C2" w:rsidRDefault="00D326C2" w:rsidP="004061E6">
      <w:pPr>
        <w:spacing w:line="480" w:lineRule="auto"/>
        <w:rPr>
          <w:rFonts w:ascii="Times New Roman" w:hAnsi="Times New Roman" w:cs="Times New Roman"/>
          <w:sz w:val="22"/>
          <w:szCs w:val="22"/>
        </w:rPr>
      </w:pPr>
    </w:p>
    <w:p w14:paraId="2E1AA187"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5. Diferencia en la Calidad del Servicio según Tipo de Donador (ANOVA)</w:t>
      </w:r>
    </w:p>
    <w:p w14:paraId="4EB39212"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Para determinar si existen diferencias significativas en la calidad del servicio percibida entre los diferentes tipos de donadores (Giro: Asociación Civil, Educación, Empresa, Gubernamental, Persona Física, Grupos internos de Teletón), se realizó un Análisis de Varianza (ANOVA) de un factor.</w:t>
      </w:r>
    </w:p>
    <w:p w14:paraId="59F78C73"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Hipótesis:</w:t>
      </w:r>
    </w:p>
    <w:p w14:paraId="08D3FA16" w14:textId="77777777" w:rsidR="00D326C2" w:rsidRPr="00D326C2" w:rsidRDefault="00D326C2" w:rsidP="004061E6">
      <w:pPr>
        <w:numPr>
          <w:ilvl w:val="0"/>
          <w:numId w:val="8"/>
        </w:numPr>
        <w:spacing w:line="480" w:lineRule="auto"/>
        <w:rPr>
          <w:rFonts w:ascii="Times New Roman" w:hAnsi="Times New Roman" w:cs="Times New Roman"/>
          <w:sz w:val="22"/>
          <w:szCs w:val="22"/>
        </w:rPr>
      </w:pPr>
      <w:r w:rsidRPr="00D326C2">
        <w:rPr>
          <w:rFonts w:ascii="Times New Roman" w:hAnsi="Times New Roman" w:cs="Times New Roman"/>
          <w:sz w:val="22"/>
          <w:szCs w:val="22"/>
        </w:rPr>
        <w:t>Hipótesis Nula (H₀): La media del Índice de Servicio es igual para todos los tipos de donadores.</w:t>
      </w:r>
    </w:p>
    <w:p w14:paraId="472DDD75" w14:textId="77777777" w:rsidR="00D326C2" w:rsidRPr="00D326C2" w:rsidRDefault="00D326C2" w:rsidP="004061E6">
      <w:pPr>
        <w:numPr>
          <w:ilvl w:val="0"/>
          <w:numId w:val="8"/>
        </w:numPr>
        <w:spacing w:line="480" w:lineRule="auto"/>
        <w:rPr>
          <w:rFonts w:ascii="Times New Roman" w:hAnsi="Times New Roman" w:cs="Times New Roman"/>
          <w:sz w:val="22"/>
          <w:szCs w:val="22"/>
        </w:rPr>
      </w:pPr>
      <w:r w:rsidRPr="00D326C2">
        <w:rPr>
          <w:rFonts w:ascii="Times New Roman" w:hAnsi="Times New Roman" w:cs="Times New Roman"/>
          <w:sz w:val="22"/>
          <w:szCs w:val="22"/>
        </w:rPr>
        <w:t>Hipótesis Alterna (Hₐ): Al menos una media del Índice de Servicio es diferente entre tipos de donadores.</w:t>
      </w:r>
    </w:p>
    <w:p w14:paraId="4595A593"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Resultado del ANOVA (por Giro):</w:t>
      </w:r>
    </w:p>
    <w:tbl>
      <w:tblPr>
        <w:tblStyle w:val="Tablanormal1"/>
        <w:tblW w:w="0" w:type="auto"/>
        <w:tblLook w:val="04A0" w:firstRow="1" w:lastRow="0" w:firstColumn="1" w:lastColumn="0" w:noHBand="0" w:noVBand="1"/>
      </w:tblPr>
      <w:tblGrid>
        <w:gridCol w:w="1036"/>
        <w:gridCol w:w="2112"/>
        <w:gridCol w:w="2452"/>
        <w:gridCol w:w="1430"/>
        <w:gridCol w:w="1798"/>
      </w:tblGrid>
      <w:tr w:rsidR="00D326C2" w:rsidRPr="00D326C2" w14:paraId="322837B1" w14:textId="77777777" w:rsidTr="00CC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DCA9A" w14:textId="77777777" w:rsidR="00D326C2" w:rsidRPr="00D326C2" w:rsidRDefault="00D326C2" w:rsidP="004061E6">
            <w:pPr>
              <w:spacing w:after="160" w:line="480" w:lineRule="auto"/>
              <w:rPr>
                <w:rFonts w:ascii="Times New Roman" w:hAnsi="Times New Roman" w:cs="Times New Roman"/>
                <w:sz w:val="22"/>
                <w:szCs w:val="22"/>
              </w:rPr>
            </w:pPr>
          </w:p>
        </w:tc>
        <w:tc>
          <w:tcPr>
            <w:tcW w:w="0" w:type="auto"/>
            <w:hideMark/>
          </w:tcPr>
          <w:p w14:paraId="5B523363"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Suma de Cuadrados</w:t>
            </w:r>
          </w:p>
        </w:tc>
        <w:tc>
          <w:tcPr>
            <w:tcW w:w="0" w:type="auto"/>
            <w:hideMark/>
          </w:tcPr>
          <w:p w14:paraId="7B8A34B4"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Grados de Libertad (</w:t>
            </w:r>
            <w:proofErr w:type="spellStart"/>
            <w:r w:rsidRPr="00D326C2">
              <w:rPr>
                <w:rFonts w:ascii="Times New Roman" w:hAnsi="Times New Roman" w:cs="Times New Roman"/>
                <w:sz w:val="22"/>
                <w:szCs w:val="22"/>
              </w:rPr>
              <w:t>df</w:t>
            </w:r>
            <w:proofErr w:type="spellEnd"/>
            <w:r w:rsidRPr="00D326C2">
              <w:rPr>
                <w:rFonts w:ascii="Times New Roman" w:hAnsi="Times New Roman" w:cs="Times New Roman"/>
                <w:sz w:val="22"/>
                <w:szCs w:val="22"/>
              </w:rPr>
              <w:t>)</w:t>
            </w:r>
          </w:p>
        </w:tc>
        <w:tc>
          <w:tcPr>
            <w:tcW w:w="0" w:type="auto"/>
            <w:hideMark/>
          </w:tcPr>
          <w:p w14:paraId="0014D222"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Estadístico F</w:t>
            </w:r>
          </w:p>
        </w:tc>
        <w:tc>
          <w:tcPr>
            <w:tcW w:w="0" w:type="auto"/>
            <w:hideMark/>
          </w:tcPr>
          <w:p w14:paraId="39CE15D4"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Valor p (PR(&gt;F))</w:t>
            </w:r>
          </w:p>
        </w:tc>
      </w:tr>
      <w:tr w:rsidR="00D326C2" w:rsidRPr="00D326C2" w14:paraId="0747F4C6"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D41F7"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C(Giro)</w:t>
            </w:r>
          </w:p>
        </w:tc>
        <w:tc>
          <w:tcPr>
            <w:tcW w:w="0" w:type="auto"/>
            <w:hideMark/>
          </w:tcPr>
          <w:p w14:paraId="68087134"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0.767171</w:t>
            </w:r>
          </w:p>
        </w:tc>
        <w:tc>
          <w:tcPr>
            <w:tcW w:w="0" w:type="auto"/>
            <w:hideMark/>
          </w:tcPr>
          <w:p w14:paraId="26EBB4E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5</w:t>
            </w:r>
          </w:p>
        </w:tc>
        <w:tc>
          <w:tcPr>
            <w:tcW w:w="0" w:type="auto"/>
            <w:hideMark/>
          </w:tcPr>
          <w:p w14:paraId="3B86DF2D"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1.02435</w:t>
            </w:r>
          </w:p>
        </w:tc>
        <w:tc>
          <w:tcPr>
            <w:tcW w:w="0" w:type="auto"/>
            <w:hideMark/>
          </w:tcPr>
          <w:p w14:paraId="402C871B"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0.403591</w:t>
            </w:r>
          </w:p>
        </w:tc>
      </w:tr>
      <w:tr w:rsidR="00D326C2" w:rsidRPr="00D326C2" w14:paraId="1513B0F4"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6E85FADC"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Residual</w:t>
            </w:r>
          </w:p>
        </w:tc>
        <w:tc>
          <w:tcPr>
            <w:tcW w:w="0" w:type="auto"/>
            <w:hideMark/>
          </w:tcPr>
          <w:p w14:paraId="24F5CD3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40.1428</w:t>
            </w:r>
          </w:p>
        </w:tc>
        <w:tc>
          <w:tcPr>
            <w:tcW w:w="0" w:type="auto"/>
            <w:hideMark/>
          </w:tcPr>
          <w:p w14:paraId="04CDDA00"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268</w:t>
            </w:r>
          </w:p>
        </w:tc>
        <w:tc>
          <w:tcPr>
            <w:tcW w:w="0" w:type="auto"/>
            <w:hideMark/>
          </w:tcPr>
          <w:p w14:paraId="6830D584" w14:textId="0A5EC4B4"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347C068A" w14:textId="42A7FEE4"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CC7BD2" w:rsidRPr="004061E6" w14:paraId="7D69FC62"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E414F1" w14:textId="77777777" w:rsidR="00CC7BD2" w:rsidRPr="004061E6" w:rsidRDefault="00CC7BD2" w:rsidP="004061E6">
            <w:pPr>
              <w:spacing w:line="480" w:lineRule="auto"/>
              <w:rPr>
                <w:rFonts w:ascii="Times New Roman" w:hAnsi="Times New Roman" w:cs="Times New Roman"/>
                <w:sz w:val="22"/>
                <w:szCs w:val="22"/>
              </w:rPr>
            </w:pPr>
          </w:p>
        </w:tc>
        <w:tc>
          <w:tcPr>
            <w:tcW w:w="0" w:type="auto"/>
          </w:tcPr>
          <w:p w14:paraId="65044BDF" w14:textId="77777777" w:rsidR="00CC7BD2" w:rsidRPr="004061E6" w:rsidRDefault="00CC7BD2" w:rsidP="004061E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0" w:type="auto"/>
          </w:tcPr>
          <w:p w14:paraId="70DFA08C" w14:textId="77777777" w:rsidR="00CC7BD2" w:rsidRPr="004061E6" w:rsidRDefault="00CC7BD2" w:rsidP="004061E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0" w:type="auto"/>
          </w:tcPr>
          <w:p w14:paraId="4E1F0256" w14:textId="77777777" w:rsidR="00CC7BD2" w:rsidRPr="004061E6" w:rsidRDefault="00CC7BD2" w:rsidP="004061E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0" w:type="auto"/>
          </w:tcPr>
          <w:p w14:paraId="16A9713D" w14:textId="77777777" w:rsidR="00CC7BD2" w:rsidRPr="004061E6" w:rsidRDefault="00CC7BD2" w:rsidP="004061E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4D938745" w14:textId="77777777" w:rsidR="00CC7BD2" w:rsidRPr="004061E6" w:rsidRDefault="00CC7BD2" w:rsidP="004061E6">
      <w:pPr>
        <w:spacing w:line="480" w:lineRule="auto"/>
        <w:rPr>
          <w:rFonts w:ascii="Times New Roman" w:hAnsi="Times New Roman" w:cs="Times New Roman"/>
          <w:b/>
          <w:bCs/>
          <w:sz w:val="22"/>
          <w:szCs w:val="22"/>
        </w:rPr>
      </w:pPr>
    </w:p>
    <w:p w14:paraId="2F784BCC" w14:textId="660449E3"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Conclusión:</w:t>
      </w:r>
      <w:r w:rsidRPr="00D326C2">
        <w:rPr>
          <w:rFonts w:ascii="Times New Roman" w:hAnsi="Times New Roman" w:cs="Times New Roman"/>
          <w:sz w:val="22"/>
          <w:szCs w:val="22"/>
        </w:rPr>
        <w:t xml:space="preserve"> El valor p (0.403591) es mucho mayor que el nivel de significancia (α = 0.05). Por lo tanto, no se rechaza la hipótesis nula (H₀).</w:t>
      </w:r>
    </w:p>
    <w:p w14:paraId="35008BB4"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Interpretación:</w:t>
      </w:r>
      <w:r w:rsidRPr="00D326C2">
        <w:rPr>
          <w:rFonts w:ascii="Times New Roman" w:hAnsi="Times New Roman" w:cs="Times New Roman"/>
          <w:sz w:val="22"/>
          <w:szCs w:val="22"/>
        </w:rPr>
        <w:t xml:space="preserve"> No existe una diferencia estadísticamente significativa en la calidad del servicio percibida entre los diferentes tipos de donadores (Asociación Civil, Educación, Empresa, Gubernamental, Persona Física, Teletón - Grupos internos). Esto sugiere que el modelo de atención al donador de Teletón es robusto y consistente en la entrega de calidad a todos sus aliados estratégicos, independientemente de su naturaleza jurídica o perfil.</w:t>
      </w:r>
    </w:p>
    <w:p w14:paraId="70FC53E0" w14:textId="2FB93AEF" w:rsidR="00D326C2" w:rsidRPr="00D326C2" w:rsidRDefault="00D326C2" w:rsidP="004061E6">
      <w:pPr>
        <w:spacing w:line="480" w:lineRule="auto"/>
        <w:rPr>
          <w:rFonts w:ascii="Times New Roman" w:hAnsi="Times New Roman" w:cs="Times New Roman"/>
          <w:sz w:val="22"/>
          <w:szCs w:val="22"/>
        </w:rPr>
      </w:pPr>
    </w:p>
    <w:p w14:paraId="1B2AB043"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6. Áreas con Mejor Calidad y Oportunidades de Mejora</w:t>
      </w:r>
    </w:p>
    <w:p w14:paraId="4FB8C5CB"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Dado que el ANOVA no mostró diferencias significativas, la calidad del servicio hacia donadores es uniformemente alta. Sin embargo, se pueden identificar las áreas con mejor desempeño y las que presentan mayores oportunidades de mejora al analizar las medias del Índice de Servicio por tipo de donador y las preguntas individuales.</w:t>
      </w:r>
    </w:p>
    <w:p w14:paraId="7E88D336"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Tipos de Donadores con Mejor Percepción del Servicio</w:t>
      </w:r>
    </w:p>
    <w:p w14:paraId="621BAFFB"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Al observar las medias del Índice de Servicio por tipo de donador (aunque no son estadísticamente diferentes), se identifican los grupos con la percepción más alta:</w:t>
      </w:r>
    </w:p>
    <w:tbl>
      <w:tblPr>
        <w:tblStyle w:val="Tablanormal1"/>
        <w:tblW w:w="0" w:type="auto"/>
        <w:tblLook w:val="04A0" w:firstRow="1" w:lastRow="0" w:firstColumn="1" w:lastColumn="0" w:noHBand="0" w:noVBand="1"/>
      </w:tblPr>
      <w:tblGrid>
        <w:gridCol w:w="4199"/>
        <w:gridCol w:w="2881"/>
      </w:tblGrid>
      <w:tr w:rsidR="00D326C2" w:rsidRPr="00D326C2" w14:paraId="6E226771" w14:textId="77777777" w:rsidTr="00CC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B29A4"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Tipo de Donador</w:t>
            </w:r>
          </w:p>
        </w:tc>
        <w:tc>
          <w:tcPr>
            <w:tcW w:w="0" w:type="auto"/>
            <w:hideMark/>
          </w:tcPr>
          <w:p w14:paraId="07B96348"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Media del Índice de Servicio</w:t>
            </w:r>
          </w:p>
        </w:tc>
      </w:tr>
      <w:tr w:rsidR="00D326C2" w:rsidRPr="00D326C2" w14:paraId="5D0CAED1"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75349"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Teletón (Grupos internos de la Fundación)</w:t>
            </w:r>
          </w:p>
        </w:tc>
        <w:tc>
          <w:tcPr>
            <w:tcW w:w="0" w:type="auto"/>
            <w:hideMark/>
          </w:tcPr>
          <w:p w14:paraId="1D72ED77"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4.375</w:t>
            </w:r>
          </w:p>
        </w:tc>
      </w:tr>
      <w:tr w:rsidR="00D326C2" w:rsidRPr="00D326C2" w14:paraId="0B1B9F9F"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4A9B77CB"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Educación</w:t>
            </w:r>
          </w:p>
        </w:tc>
        <w:tc>
          <w:tcPr>
            <w:tcW w:w="0" w:type="auto"/>
            <w:hideMark/>
          </w:tcPr>
          <w:p w14:paraId="494F87DA"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4.3206</w:t>
            </w:r>
          </w:p>
        </w:tc>
      </w:tr>
      <w:tr w:rsidR="00D326C2" w:rsidRPr="00D326C2" w14:paraId="67AA3DF3"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7600B"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Asociación civil</w:t>
            </w:r>
          </w:p>
        </w:tc>
        <w:tc>
          <w:tcPr>
            <w:tcW w:w="0" w:type="auto"/>
            <w:hideMark/>
          </w:tcPr>
          <w:p w14:paraId="24BC523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4.2862</w:t>
            </w:r>
          </w:p>
        </w:tc>
      </w:tr>
    </w:tbl>
    <w:p w14:paraId="4FD730A6" w14:textId="77777777" w:rsidR="00CC7BD2" w:rsidRPr="004061E6" w:rsidRDefault="00CC7BD2" w:rsidP="004061E6">
      <w:pPr>
        <w:spacing w:line="480" w:lineRule="auto"/>
        <w:rPr>
          <w:rFonts w:ascii="Times New Roman" w:hAnsi="Times New Roman" w:cs="Times New Roman"/>
          <w:sz w:val="22"/>
          <w:szCs w:val="22"/>
        </w:rPr>
      </w:pPr>
    </w:p>
    <w:p w14:paraId="091781CD" w14:textId="17165C14"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Observación: Los grupos internos de Teletón (empleados, voluntarios, áreas internas) y las instituciones educativas son los que perciben la calidad más alta en el servicio recibido. Esto puede indicar mayor familiaridad con los procesos de la organización, alineación con los valores de la Fundación, o comunicación más frecuente y cercana.</w:t>
      </w:r>
    </w:p>
    <w:p w14:paraId="65DB45E0"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Mayores Oportunidades de Mejora en la Atención al Donador</w:t>
      </w:r>
    </w:p>
    <w:p w14:paraId="28148941" w14:textId="77777777" w:rsidR="00D326C2" w:rsidRPr="004061E6"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Las oportunidades de mejora se encuentran en las preguntas con las medias más bajas y en las dimensiones con menor correlación con el Índice de Servicio.</w:t>
      </w:r>
    </w:p>
    <w:p w14:paraId="090FB9F3" w14:textId="77777777" w:rsidR="00CC7BD2" w:rsidRPr="004061E6" w:rsidRDefault="00CC7BD2" w:rsidP="004061E6">
      <w:pPr>
        <w:spacing w:line="480" w:lineRule="auto"/>
        <w:rPr>
          <w:rFonts w:ascii="Times New Roman" w:hAnsi="Times New Roman" w:cs="Times New Roman"/>
          <w:sz w:val="22"/>
          <w:szCs w:val="22"/>
        </w:rPr>
      </w:pPr>
    </w:p>
    <w:p w14:paraId="0659467F" w14:textId="77777777" w:rsidR="00CC7BD2" w:rsidRPr="004061E6" w:rsidRDefault="00CC7BD2" w:rsidP="004061E6">
      <w:pPr>
        <w:spacing w:line="480" w:lineRule="auto"/>
        <w:rPr>
          <w:rFonts w:ascii="Times New Roman" w:hAnsi="Times New Roman" w:cs="Times New Roman"/>
          <w:sz w:val="22"/>
          <w:szCs w:val="22"/>
        </w:rPr>
      </w:pPr>
    </w:p>
    <w:p w14:paraId="49B4C366" w14:textId="77777777" w:rsidR="00CC7BD2" w:rsidRPr="004061E6" w:rsidRDefault="00CC7BD2" w:rsidP="004061E6">
      <w:pPr>
        <w:spacing w:line="480" w:lineRule="auto"/>
        <w:rPr>
          <w:rFonts w:ascii="Times New Roman" w:hAnsi="Times New Roman" w:cs="Times New Roman"/>
          <w:sz w:val="22"/>
          <w:szCs w:val="22"/>
        </w:rPr>
      </w:pPr>
    </w:p>
    <w:p w14:paraId="6FB3EABE" w14:textId="77777777" w:rsidR="00CC7BD2" w:rsidRPr="00D326C2" w:rsidRDefault="00CC7BD2" w:rsidP="004061E6">
      <w:pPr>
        <w:spacing w:line="480" w:lineRule="auto"/>
        <w:rPr>
          <w:rFonts w:ascii="Times New Roman" w:hAnsi="Times New Roman" w:cs="Times New Roman"/>
          <w:sz w:val="22"/>
          <w:szCs w:val="22"/>
        </w:rPr>
      </w:pPr>
    </w:p>
    <w:tbl>
      <w:tblPr>
        <w:tblStyle w:val="Tablanormal1"/>
        <w:tblW w:w="0" w:type="auto"/>
        <w:tblLook w:val="04A0" w:firstRow="1" w:lastRow="0" w:firstColumn="1" w:lastColumn="0" w:noHBand="0" w:noVBand="1"/>
      </w:tblPr>
      <w:tblGrid>
        <w:gridCol w:w="1329"/>
        <w:gridCol w:w="1236"/>
        <w:gridCol w:w="1940"/>
        <w:gridCol w:w="4323"/>
      </w:tblGrid>
      <w:tr w:rsidR="00CC7BD2" w:rsidRPr="004061E6" w14:paraId="1D6ED1A5" w14:textId="77777777" w:rsidTr="00CC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36E24527" w14:textId="756612D0"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Pregunta</w:t>
            </w:r>
          </w:p>
        </w:tc>
        <w:tc>
          <w:tcPr>
            <w:tcW w:w="1245" w:type="dxa"/>
            <w:hideMark/>
          </w:tcPr>
          <w:p w14:paraId="2183A809" w14:textId="77777777" w:rsidR="00D326C2" w:rsidRPr="00D326C2" w:rsidRDefault="00D326C2" w:rsidP="004061E6">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Media</w:t>
            </w:r>
          </w:p>
        </w:tc>
        <w:tc>
          <w:tcPr>
            <w:tcW w:w="1956" w:type="dxa"/>
            <w:hideMark/>
          </w:tcPr>
          <w:p w14:paraId="52D223F4" w14:textId="0CC0A3E3" w:rsidR="00D326C2" w:rsidRPr="00D326C2" w:rsidRDefault="00D326C2" w:rsidP="004061E6">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 xml:space="preserve">Correlación </w:t>
            </w:r>
            <w:r w:rsidRPr="004061E6">
              <w:rPr>
                <w:rFonts w:ascii="Times New Roman" w:hAnsi="Times New Roman" w:cs="Times New Roman"/>
                <w:b w:val="0"/>
                <w:bCs w:val="0"/>
                <w:sz w:val="22"/>
                <w:szCs w:val="22"/>
              </w:rPr>
              <w:t xml:space="preserve">   </w:t>
            </w:r>
            <w:r w:rsidRPr="00D326C2">
              <w:rPr>
                <w:rFonts w:ascii="Times New Roman" w:hAnsi="Times New Roman" w:cs="Times New Roman"/>
                <w:sz w:val="22"/>
                <w:szCs w:val="22"/>
              </w:rPr>
              <w:t>con Índice de Servicio</w:t>
            </w:r>
          </w:p>
        </w:tc>
        <w:tc>
          <w:tcPr>
            <w:tcW w:w="4398" w:type="dxa"/>
            <w:hideMark/>
          </w:tcPr>
          <w:p w14:paraId="62BA3ACE" w14:textId="77777777" w:rsidR="00D326C2" w:rsidRPr="00D326C2" w:rsidRDefault="00D326C2" w:rsidP="004061E6">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Oportunidad de Mejora</w:t>
            </w:r>
          </w:p>
        </w:tc>
      </w:tr>
      <w:tr w:rsidR="00CC7BD2" w:rsidRPr="004061E6" w14:paraId="7580F176"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3F6D747E"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FI_1 (Fiabilidad)</w:t>
            </w:r>
          </w:p>
        </w:tc>
        <w:tc>
          <w:tcPr>
            <w:tcW w:w="1245" w:type="dxa"/>
            <w:hideMark/>
          </w:tcPr>
          <w:p w14:paraId="651ADF89"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3.55839</w:t>
            </w:r>
          </w:p>
        </w:tc>
        <w:tc>
          <w:tcPr>
            <w:tcW w:w="1956" w:type="dxa"/>
            <w:hideMark/>
          </w:tcPr>
          <w:p w14:paraId="52FE7BD6"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0.62772</w:t>
            </w:r>
          </w:p>
        </w:tc>
        <w:tc>
          <w:tcPr>
            <w:tcW w:w="4398" w:type="dxa"/>
            <w:hideMark/>
          </w:tcPr>
          <w:p w14:paraId="07E19E42"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 xml:space="preserve">Mejorar la Fiabilidad: Es la pregunta con la media más baja. Implica asegurar que la Fundación cumple sus promesas a donadores </w:t>
            </w:r>
            <w:r w:rsidRPr="00D326C2">
              <w:rPr>
                <w:rFonts w:ascii="Times New Roman" w:hAnsi="Times New Roman" w:cs="Times New Roman"/>
                <w:sz w:val="22"/>
                <w:szCs w:val="22"/>
              </w:rPr>
              <w:lastRenderedPageBreak/>
              <w:t>de manera precisa y confiable (envío puntual de reportes, transparencia en uso de fondos, cumplimiento de compromisos).</w:t>
            </w:r>
          </w:p>
        </w:tc>
      </w:tr>
      <w:tr w:rsidR="00CC7BD2" w:rsidRPr="004061E6" w14:paraId="4DB502A9" w14:textId="77777777" w:rsidTr="00CC7BD2">
        <w:tc>
          <w:tcPr>
            <w:cnfStyle w:val="001000000000" w:firstRow="0" w:lastRow="0" w:firstColumn="1" w:lastColumn="0" w:oddVBand="0" w:evenVBand="0" w:oddHBand="0" w:evenHBand="0" w:firstRowFirstColumn="0" w:firstRowLastColumn="0" w:lastRowFirstColumn="0" w:lastRowLastColumn="0"/>
            <w:tcW w:w="1089" w:type="dxa"/>
            <w:hideMark/>
          </w:tcPr>
          <w:p w14:paraId="6EBC318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AT_2 (Atención)</w:t>
            </w:r>
          </w:p>
        </w:tc>
        <w:tc>
          <w:tcPr>
            <w:tcW w:w="1245" w:type="dxa"/>
            <w:hideMark/>
          </w:tcPr>
          <w:p w14:paraId="44C40299"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3.57664</w:t>
            </w:r>
          </w:p>
        </w:tc>
        <w:tc>
          <w:tcPr>
            <w:tcW w:w="1956" w:type="dxa"/>
            <w:hideMark/>
          </w:tcPr>
          <w:p w14:paraId="2EA46E3E"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0.40506</w:t>
            </w:r>
          </w:p>
        </w:tc>
        <w:tc>
          <w:tcPr>
            <w:tcW w:w="4398" w:type="dxa"/>
            <w:hideMark/>
          </w:tcPr>
          <w:p w14:paraId="7525FF0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Mejorar la Atención Específica: Aunque la Empatía es alta, la Atención (AT_2) tiene una media baja y una correlación moderada. Se debe revisar la eficiencia y disponibilidad de los canales de comunicación con donadores (tiempos de respuesta, facilidad de contacto).</w:t>
            </w:r>
          </w:p>
        </w:tc>
      </w:tr>
      <w:tr w:rsidR="00CC7BD2" w:rsidRPr="004061E6" w14:paraId="6A530A51"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3433EEE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AT_1 (Atención)</w:t>
            </w:r>
          </w:p>
        </w:tc>
        <w:tc>
          <w:tcPr>
            <w:tcW w:w="1245" w:type="dxa"/>
            <w:hideMark/>
          </w:tcPr>
          <w:p w14:paraId="475FED47"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3.79562</w:t>
            </w:r>
          </w:p>
        </w:tc>
        <w:tc>
          <w:tcPr>
            <w:tcW w:w="1956" w:type="dxa"/>
            <w:hideMark/>
          </w:tcPr>
          <w:p w14:paraId="461E97D5"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0.366896</w:t>
            </w:r>
          </w:p>
        </w:tc>
        <w:tc>
          <w:tcPr>
            <w:tcW w:w="4398" w:type="dxa"/>
            <w:hideMark/>
          </w:tcPr>
          <w:p w14:paraId="1EB39475"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Mejorar la Atención General: Es la variable con la correlación más baja con el Índice de Servicio, lo que sugiere que el esfuerzo en esta área no se traduce tan directamente en la satisfacción general del donador. Se debe reevaluar la estrategia de atención para hacerla más eficiente y resolutiva.</w:t>
            </w:r>
          </w:p>
        </w:tc>
      </w:tr>
    </w:tbl>
    <w:p w14:paraId="0EBFC003" w14:textId="15B30323" w:rsidR="00D326C2" w:rsidRPr="00D326C2" w:rsidRDefault="00D326C2" w:rsidP="004061E6">
      <w:pPr>
        <w:spacing w:line="480" w:lineRule="auto"/>
        <w:rPr>
          <w:rFonts w:ascii="Times New Roman" w:hAnsi="Times New Roman" w:cs="Times New Roman"/>
          <w:sz w:val="22"/>
          <w:szCs w:val="22"/>
        </w:rPr>
      </w:pPr>
    </w:p>
    <w:p w14:paraId="6D35ECDB"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7. Regresión Lineal para Predecir la Calidad en el Servicio</w:t>
      </w:r>
    </w:p>
    <w:p w14:paraId="48CC8F7C"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Se realizó una regresión lineal múltiple para predecir el Índice de Servicio percibido por los donadores a partir de las variables representativas de las dimensiones de calidad (AT_1, FI_1, R_1, E_1, C_1) y la antigüedad del donador (</w:t>
      </w:r>
      <w:proofErr w:type="spellStart"/>
      <w:r w:rsidRPr="00D326C2">
        <w:rPr>
          <w:rFonts w:ascii="Times New Roman" w:hAnsi="Times New Roman" w:cs="Times New Roman"/>
          <w:sz w:val="22"/>
          <w:szCs w:val="22"/>
        </w:rPr>
        <w:t>AniosCat</w:t>
      </w:r>
      <w:proofErr w:type="spellEnd"/>
      <w:r w:rsidRPr="00D326C2">
        <w:rPr>
          <w:rFonts w:ascii="Times New Roman" w:hAnsi="Times New Roman" w:cs="Times New Roman"/>
          <w:sz w:val="22"/>
          <w:szCs w:val="22"/>
        </w:rPr>
        <w:t>).</w:t>
      </w:r>
    </w:p>
    <w:p w14:paraId="6AA960AF"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Modelo de Regresión OLS:</w:t>
      </w:r>
    </w:p>
    <w:p w14:paraId="7EEF1534" w14:textId="77777777" w:rsidR="00D326C2" w:rsidRPr="00D326C2" w:rsidRDefault="00D326C2" w:rsidP="004061E6">
      <w:pPr>
        <w:numPr>
          <w:ilvl w:val="0"/>
          <w:numId w:val="9"/>
        </w:numPr>
        <w:spacing w:line="480" w:lineRule="auto"/>
        <w:rPr>
          <w:rFonts w:ascii="Times New Roman" w:hAnsi="Times New Roman" w:cs="Times New Roman"/>
          <w:sz w:val="22"/>
          <w:szCs w:val="22"/>
        </w:rPr>
      </w:pPr>
      <w:r w:rsidRPr="00D326C2">
        <w:rPr>
          <w:rFonts w:ascii="Times New Roman" w:hAnsi="Times New Roman" w:cs="Times New Roman"/>
          <w:sz w:val="22"/>
          <w:szCs w:val="22"/>
        </w:rPr>
        <w:t>R-cuadrado: 0.799</w:t>
      </w:r>
    </w:p>
    <w:p w14:paraId="350D60DB" w14:textId="77777777" w:rsidR="00D326C2" w:rsidRPr="00D326C2" w:rsidRDefault="00D326C2" w:rsidP="004061E6">
      <w:pPr>
        <w:numPr>
          <w:ilvl w:val="0"/>
          <w:numId w:val="9"/>
        </w:numPr>
        <w:spacing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R-cuadrado Ajustado: 0.793</w:t>
      </w:r>
    </w:p>
    <w:p w14:paraId="5D4979DD" w14:textId="77777777" w:rsidR="00D326C2" w:rsidRPr="00D326C2" w:rsidRDefault="00D326C2" w:rsidP="004061E6">
      <w:pPr>
        <w:numPr>
          <w:ilvl w:val="0"/>
          <w:numId w:val="9"/>
        </w:numPr>
        <w:spacing w:line="480" w:lineRule="auto"/>
        <w:rPr>
          <w:rFonts w:ascii="Times New Roman" w:hAnsi="Times New Roman" w:cs="Times New Roman"/>
          <w:sz w:val="22"/>
          <w:szCs w:val="22"/>
        </w:rPr>
      </w:pPr>
      <w:proofErr w:type="spellStart"/>
      <w:r w:rsidRPr="00D326C2">
        <w:rPr>
          <w:rFonts w:ascii="Times New Roman" w:hAnsi="Times New Roman" w:cs="Times New Roman"/>
          <w:sz w:val="22"/>
          <w:szCs w:val="22"/>
        </w:rPr>
        <w:t>Prob</w:t>
      </w:r>
      <w:proofErr w:type="spellEnd"/>
      <w:r w:rsidRPr="00D326C2">
        <w:rPr>
          <w:rFonts w:ascii="Times New Roman" w:hAnsi="Times New Roman" w:cs="Times New Roman"/>
          <w:sz w:val="22"/>
          <w:szCs w:val="22"/>
        </w:rPr>
        <w:t xml:space="preserve"> (F-estadístico): 8.74 × 10⁻⁸⁸</w:t>
      </w:r>
    </w:p>
    <w:p w14:paraId="66D4F7FD"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Interpretación del Modelo:</w:t>
      </w:r>
      <w:r w:rsidRPr="00D326C2">
        <w:rPr>
          <w:rFonts w:ascii="Times New Roman" w:hAnsi="Times New Roman" w:cs="Times New Roman"/>
          <w:sz w:val="22"/>
          <w:szCs w:val="22"/>
        </w:rPr>
        <w:t xml:space="preserve"> El modelo es altamente significativo (</w:t>
      </w:r>
      <w:proofErr w:type="spellStart"/>
      <w:r w:rsidRPr="00D326C2">
        <w:rPr>
          <w:rFonts w:ascii="Times New Roman" w:hAnsi="Times New Roman" w:cs="Times New Roman"/>
          <w:sz w:val="22"/>
          <w:szCs w:val="22"/>
        </w:rPr>
        <w:t>Prob</w:t>
      </w:r>
      <w:proofErr w:type="spellEnd"/>
      <w:r w:rsidRPr="00D326C2">
        <w:rPr>
          <w:rFonts w:ascii="Times New Roman" w:hAnsi="Times New Roman" w:cs="Times New Roman"/>
          <w:sz w:val="22"/>
          <w:szCs w:val="22"/>
        </w:rPr>
        <w:t>(F-estadístico) ≈ 0.000) y explica aproximadamente el 79.9% de la varianza en el Índice de Servicio. Esto indica que las variables seleccionadas son excelentes predictores de la calidad en el servicio percibida por los donadores.</w:t>
      </w:r>
    </w:p>
    <w:p w14:paraId="133A838C"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Coeficientes de Regresión (Variables con mayor impacto):</w:t>
      </w:r>
    </w:p>
    <w:tbl>
      <w:tblPr>
        <w:tblStyle w:val="Tablanormal1"/>
        <w:tblW w:w="0" w:type="auto"/>
        <w:tblLook w:val="04A0" w:firstRow="1" w:lastRow="0" w:firstColumn="1" w:lastColumn="0" w:noHBand="0" w:noVBand="1"/>
      </w:tblPr>
      <w:tblGrid>
        <w:gridCol w:w="1762"/>
        <w:gridCol w:w="1500"/>
        <w:gridCol w:w="772"/>
        <w:gridCol w:w="4794"/>
      </w:tblGrid>
      <w:tr w:rsidR="00D326C2" w:rsidRPr="00D326C2" w14:paraId="1FA91245" w14:textId="77777777" w:rsidTr="00CC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55525"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Variable</w:t>
            </w:r>
          </w:p>
        </w:tc>
        <w:tc>
          <w:tcPr>
            <w:tcW w:w="0" w:type="auto"/>
            <w:hideMark/>
          </w:tcPr>
          <w:p w14:paraId="01304AA1"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Coeficiente (Impacto)</w:t>
            </w:r>
          </w:p>
        </w:tc>
        <w:tc>
          <w:tcPr>
            <w:tcW w:w="0" w:type="auto"/>
            <w:hideMark/>
          </w:tcPr>
          <w:p w14:paraId="34ABC254"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Valor p</w:t>
            </w:r>
          </w:p>
        </w:tc>
        <w:tc>
          <w:tcPr>
            <w:tcW w:w="0" w:type="auto"/>
            <w:hideMark/>
          </w:tcPr>
          <w:p w14:paraId="3C4AE111"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Interpretación</w:t>
            </w:r>
          </w:p>
        </w:tc>
      </w:tr>
      <w:tr w:rsidR="00D326C2" w:rsidRPr="00D326C2" w14:paraId="7ACE3A2C"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EAEFE"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C_1 (Confiabilidad)</w:t>
            </w:r>
          </w:p>
        </w:tc>
        <w:tc>
          <w:tcPr>
            <w:tcW w:w="0" w:type="auto"/>
            <w:hideMark/>
          </w:tcPr>
          <w:p w14:paraId="7DFC1C8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0.2342</w:t>
            </w:r>
          </w:p>
        </w:tc>
        <w:tc>
          <w:tcPr>
            <w:tcW w:w="0" w:type="auto"/>
            <w:hideMark/>
          </w:tcPr>
          <w:p w14:paraId="4BDED06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0.000</w:t>
            </w:r>
          </w:p>
        </w:tc>
        <w:tc>
          <w:tcPr>
            <w:tcW w:w="0" w:type="auto"/>
            <w:hideMark/>
          </w:tcPr>
          <w:p w14:paraId="3DEE520B"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Por cada unidad de aumento en C_1, el Índice de Servicio aumenta en 0.2342. Es el predictor más fuerte de satisfacción del donador.</w:t>
            </w:r>
          </w:p>
        </w:tc>
      </w:tr>
      <w:tr w:rsidR="00D326C2" w:rsidRPr="00D326C2" w14:paraId="79D328E0"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549AA37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FI_1 (Fiabilidad)</w:t>
            </w:r>
          </w:p>
        </w:tc>
        <w:tc>
          <w:tcPr>
            <w:tcW w:w="0" w:type="auto"/>
            <w:hideMark/>
          </w:tcPr>
          <w:p w14:paraId="4B7D10D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0.1654</w:t>
            </w:r>
          </w:p>
        </w:tc>
        <w:tc>
          <w:tcPr>
            <w:tcW w:w="0" w:type="auto"/>
            <w:hideMark/>
          </w:tcPr>
          <w:p w14:paraId="17FB4246"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0.000</w:t>
            </w:r>
          </w:p>
        </w:tc>
        <w:tc>
          <w:tcPr>
            <w:tcW w:w="0" w:type="auto"/>
            <w:hideMark/>
          </w:tcPr>
          <w:p w14:paraId="1D2A462F"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Segundo predictor más fuerte. La percepción de cumplimiento de promesas hacia el donador es vital para su satisfacción.</w:t>
            </w:r>
          </w:p>
        </w:tc>
      </w:tr>
      <w:tr w:rsidR="00D326C2" w:rsidRPr="00D326C2" w14:paraId="77234153"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4153C"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E_1 (Empatía)</w:t>
            </w:r>
          </w:p>
        </w:tc>
        <w:tc>
          <w:tcPr>
            <w:tcW w:w="0" w:type="auto"/>
            <w:hideMark/>
          </w:tcPr>
          <w:p w14:paraId="473F5C03"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0.1518</w:t>
            </w:r>
          </w:p>
        </w:tc>
        <w:tc>
          <w:tcPr>
            <w:tcW w:w="0" w:type="auto"/>
            <w:hideMark/>
          </w:tcPr>
          <w:p w14:paraId="64B9C84A"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0.000</w:t>
            </w:r>
          </w:p>
        </w:tc>
        <w:tc>
          <w:tcPr>
            <w:tcW w:w="0" w:type="auto"/>
            <w:hideMark/>
          </w:tcPr>
          <w:p w14:paraId="4645999F"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La Empatía en el trato al donador es un predictor muy fuerte de la calidad general percibida.</w:t>
            </w:r>
          </w:p>
        </w:tc>
      </w:tr>
      <w:tr w:rsidR="00D326C2" w:rsidRPr="00D326C2" w14:paraId="2117945F"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1E8E01D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R_1 (Respuesta)</w:t>
            </w:r>
          </w:p>
        </w:tc>
        <w:tc>
          <w:tcPr>
            <w:tcW w:w="0" w:type="auto"/>
            <w:hideMark/>
          </w:tcPr>
          <w:p w14:paraId="48E881B9"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0.1166</w:t>
            </w:r>
          </w:p>
        </w:tc>
        <w:tc>
          <w:tcPr>
            <w:tcW w:w="0" w:type="auto"/>
            <w:hideMark/>
          </w:tcPr>
          <w:p w14:paraId="1AC56509"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0.000</w:t>
            </w:r>
          </w:p>
        </w:tc>
        <w:tc>
          <w:tcPr>
            <w:tcW w:w="0" w:type="auto"/>
            <w:hideMark/>
          </w:tcPr>
          <w:p w14:paraId="21C1C10B"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La capacidad de respuesta hacia las consultas y necesidades del donador tiene un impacto significativo.</w:t>
            </w:r>
          </w:p>
        </w:tc>
      </w:tr>
      <w:tr w:rsidR="00D326C2" w:rsidRPr="00D326C2" w14:paraId="51B5C6B1"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3BE08"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AT_1 (Atención)</w:t>
            </w:r>
          </w:p>
        </w:tc>
        <w:tc>
          <w:tcPr>
            <w:tcW w:w="0" w:type="auto"/>
            <w:hideMark/>
          </w:tcPr>
          <w:p w14:paraId="44BDF14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0.0810</w:t>
            </w:r>
          </w:p>
        </w:tc>
        <w:tc>
          <w:tcPr>
            <w:tcW w:w="0" w:type="auto"/>
            <w:hideMark/>
          </w:tcPr>
          <w:p w14:paraId="45DD14DE"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0.000</w:t>
            </w:r>
          </w:p>
        </w:tc>
        <w:tc>
          <w:tcPr>
            <w:tcW w:w="0" w:type="auto"/>
            <w:hideMark/>
          </w:tcPr>
          <w:p w14:paraId="4D7662B6"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El impacto es menor que el de otras dimensiones, pero sigue siendo significativo en la percepción del donador.</w:t>
            </w:r>
          </w:p>
        </w:tc>
      </w:tr>
      <w:tr w:rsidR="00D326C2" w:rsidRPr="00D326C2" w14:paraId="249776EB"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459467B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AniosCat_11+</w:t>
            </w:r>
          </w:p>
        </w:tc>
        <w:tc>
          <w:tcPr>
            <w:tcW w:w="0" w:type="auto"/>
            <w:hideMark/>
          </w:tcPr>
          <w:p w14:paraId="695AC0A6"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0.0652</w:t>
            </w:r>
          </w:p>
        </w:tc>
        <w:tc>
          <w:tcPr>
            <w:tcW w:w="0" w:type="auto"/>
            <w:hideMark/>
          </w:tcPr>
          <w:p w14:paraId="599D87DB"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0.095</w:t>
            </w:r>
          </w:p>
        </w:tc>
        <w:tc>
          <w:tcPr>
            <w:tcW w:w="0" w:type="auto"/>
            <w:hideMark/>
          </w:tcPr>
          <w:p w14:paraId="0B71B77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La antigüedad de 11+ años donando tiene un impacto positivo, aunque marginalmente significativo al 10%. Los donadores más antiguos tienden a percibir mejor calidad.</w:t>
            </w:r>
          </w:p>
        </w:tc>
      </w:tr>
    </w:tbl>
    <w:p w14:paraId="61B9DB6D" w14:textId="0F8BFFFB" w:rsidR="00D326C2" w:rsidRPr="00D326C2" w:rsidRDefault="00D326C2" w:rsidP="004061E6">
      <w:pPr>
        <w:spacing w:line="480" w:lineRule="auto"/>
        <w:rPr>
          <w:rFonts w:ascii="Times New Roman" w:hAnsi="Times New Roman" w:cs="Times New Roman"/>
          <w:sz w:val="22"/>
          <w:szCs w:val="22"/>
        </w:rPr>
      </w:pPr>
    </w:p>
    <w:p w14:paraId="3223DE6F"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8. Correlación entre Variables Independientes y la Variable Dependiente (Calidad en el Servicio)</w:t>
      </w:r>
    </w:p>
    <w:p w14:paraId="25190924"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La correlación de Pearson confirma la relación lineal positiva entre todas las variables de las dimensiones de servicio y el Índice de Servicio percibido por los donadores.</w:t>
      </w:r>
    </w:p>
    <w:tbl>
      <w:tblPr>
        <w:tblStyle w:val="Tablanormal1"/>
        <w:tblW w:w="0" w:type="auto"/>
        <w:tblLook w:val="04A0" w:firstRow="1" w:lastRow="0" w:firstColumn="1" w:lastColumn="0" w:noHBand="0" w:noVBand="1"/>
      </w:tblPr>
      <w:tblGrid>
        <w:gridCol w:w="2093"/>
        <w:gridCol w:w="3451"/>
      </w:tblGrid>
      <w:tr w:rsidR="00D326C2" w:rsidRPr="00D326C2" w14:paraId="056912B3" w14:textId="77777777" w:rsidTr="00CC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06220"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Variable</w:t>
            </w:r>
          </w:p>
        </w:tc>
        <w:tc>
          <w:tcPr>
            <w:tcW w:w="0" w:type="auto"/>
            <w:hideMark/>
          </w:tcPr>
          <w:p w14:paraId="74413A5E" w14:textId="77777777" w:rsidR="00D326C2" w:rsidRPr="00D326C2" w:rsidRDefault="00D326C2" w:rsidP="004061E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Correlación con Índice de Servicio</w:t>
            </w:r>
          </w:p>
        </w:tc>
      </w:tr>
      <w:tr w:rsidR="00D326C2" w:rsidRPr="00D326C2" w14:paraId="36559E8A"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F1BE5"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C_1 (Confiabilidad)</w:t>
            </w:r>
          </w:p>
        </w:tc>
        <w:tc>
          <w:tcPr>
            <w:tcW w:w="0" w:type="auto"/>
            <w:hideMark/>
          </w:tcPr>
          <w:p w14:paraId="17DDE2E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0.736014</w:t>
            </w:r>
          </w:p>
        </w:tc>
      </w:tr>
      <w:tr w:rsidR="00D326C2" w:rsidRPr="00D326C2" w14:paraId="7102B235"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0DAFF4F2"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D_1 (Dimensión)</w:t>
            </w:r>
          </w:p>
        </w:tc>
        <w:tc>
          <w:tcPr>
            <w:tcW w:w="0" w:type="auto"/>
            <w:hideMark/>
          </w:tcPr>
          <w:p w14:paraId="32548F1A"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0.677048</w:t>
            </w:r>
          </w:p>
        </w:tc>
      </w:tr>
      <w:tr w:rsidR="00D326C2" w:rsidRPr="00D326C2" w14:paraId="01654EB3"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B8C53"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R_3 (Respuesta)</w:t>
            </w:r>
          </w:p>
        </w:tc>
        <w:tc>
          <w:tcPr>
            <w:tcW w:w="0" w:type="auto"/>
            <w:hideMark/>
          </w:tcPr>
          <w:p w14:paraId="11C30361"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0.675181</w:t>
            </w:r>
          </w:p>
        </w:tc>
      </w:tr>
      <w:tr w:rsidR="00D326C2" w:rsidRPr="00D326C2" w14:paraId="3D6AE417"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2688CDD2"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FI_2 (Fiabilidad)</w:t>
            </w:r>
          </w:p>
        </w:tc>
        <w:tc>
          <w:tcPr>
            <w:tcW w:w="0" w:type="auto"/>
            <w:hideMark/>
          </w:tcPr>
          <w:p w14:paraId="694CABE2"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0.643546</w:t>
            </w:r>
          </w:p>
        </w:tc>
      </w:tr>
      <w:tr w:rsidR="00D326C2" w:rsidRPr="00D326C2" w14:paraId="2FC6E6D7"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D2690"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FI_1 (Fiabilidad)</w:t>
            </w:r>
          </w:p>
        </w:tc>
        <w:tc>
          <w:tcPr>
            <w:tcW w:w="0" w:type="auto"/>
            <w:hideMark/>
          </w:tcPr>
          <w:p w14:paraId="1B7D44D9"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0.62772</w:t>
            </w:r>
          </w:p>
        </w:tc>
      </w:tr>
      <w:tr w:rsidR="00D326C2" w:rsidRPr="00D326C2" w14:paraId="3607B258"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7C928DCF"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E_4 (Empatía)</w:t>
            </w:r>
          </w:p>
        </w:tc>
        <w:tc>
          <w:tcPr>
            <w:tcW w:w="0" w:type="auto"/>
            <w:hideMark/>
          </w:tcPr>
          <w:p w14:paraId="1D5737E3"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0.619308</w:t>
            </w:r>
          </w:p>
        </w:tc>
      </w:tr>
      <w:tr w:rsidR="00D326C2" w:rsidRPr="00D326C2" w14:paraId="166080B0"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19A4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FI_3 (Fiabilidad)</w:t>
            </w:r>
          </w:p>
        </w:tc>
        <w:tc>
          <w:tcPr>
            <w:tcW w:w="0" w:type="auto"/>
            <w:hideMark/>
          </w:tcPr>
          <w:p w14:paraId="3597A9F9"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0.583403</w:t>
            </w:r>
          </w:p>
        </w:tc>
      </w:tr>
      <w:tr w:rsidR="00D326C2" w:rsidRPr="00D326C2" w14:paraId="5E86508B"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0F35A181"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R_2 (Respuesta)</w:t>
            </w:r>
          </w:p>
        </w:tc>
        <w:tc>
          <w:tcPr>
            <w:tcW w:w="0" w:type="auto"/>
            <w:hideMark/>
          </w:tcPr>
          <w:p w14:paraId="178182DF"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0.568838</w:t>
            </w:r>
          </w:p>
        </w:tc>
      </w:tr>
      <w:tr w:rsidR="00D326C2" w:rsidRPr="00D326C2" w14:paraId="115C688D"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CD2CA"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E_3 (Empatía)</w:t>
            </w:r>
          </w:p>
        </w:tc>
        <w:tc>
          <w:tcPr>
            <w:tcW w:w="0" w:type="auto"/>
            <w:hideMark/>
          </w:tcPr>
          <w:p w14:paraId="09BF779D"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0.466027</w:t>
            </w:r>
          </w:p>
        </w:tc>
      </w:tr>
      <w:tr w:rsidR="00D326C2" w:rsidRPr="00D326C2" w14:paraId="2D30AC15"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2123AAA3"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E_1 (Empatía)</w:t>
            </w:r>
          </w:p>
        </w:tc>
        <w:tc>
          <w:tcPr>
            <w:tcW w:w="0" w:type="auto"/>
            <w:hideMark/>
          </w:tcPr>
          <w:p w14:paraId="7055F8A4"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0.462809</w:t>
            </w:r>
          </w:p>
        </w:tc>
      </w:tr>
      <w:tr w:rsidR="00D326C2" w:rsidRPr="00D326C2" w14:paraId="2FA48136"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668E3"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R_1 (Respuesta)</w:t>
            </w:r>
          </w:p>
        </w:tc>
        <w:tc>
          <w:tcPr>
            <w:tcW w:w="0" w:type="auto"/>
            <w:hideMark/>
          </w:tcPr>
          <w:p w14:paraId="0B329C58"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0.460967</w:t>
            </w:r>
          </w:p>
        </w:tc>
      </w:tr>
      <w:tr w:rsidR="00D326C2" w:rsidRPr="00D326C2" w14:paraId="74C7924C"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54FDB2A8"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E_2 (Empatía)</w:t>
            </w:r>
          </w:p>
        </w:tc>
        <w:tc>
          <w:tcPr>
            <w:tcW w:w="0" w:type="auto"/>
            <w:hideMark/>
          </w:tcPr>
          <w:p w14:paraId="23BBC028"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0.440678</w:t>
            </w:r>
          </w:p>
        </w:tc>
      </w:tr>
      <w:tr w:rsidR="00D326C2" w:rsidRPr="00D326C2" w14:paraId="0C47ECE8"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470A9"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AT_2 (Atención)</w:t>
            </w:r>
          </w:p>
        </w:tc>
        <w:tc>
          <w:tcPr>
            <w:tcW w:w="0" w:type="auto"/>
            <w:hideMark/>
          </w:tcPr>
          <w:p w14:paraId="07A2D166"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0.40506</w:t>
            </w:r>
          </w:p>
        </w:tc>
      </w:tr>
      <w:tr w:rsidR="00D326C2" w:rsidRPr="00D326C2" w14:paraId="31892462" w14:textId="77777777" w:rsidTr="00CC7BD2">
        <w:tc>
          <w:tcPr>
            <w:cnfStyle w:val="001000000000" w:firstRow="0" w:lastRow="0" w:firstColumn="1" w:lastColumn="0" w:oddVBand="0" w:evenVBand="0" w:oddHBand="0" w:evenHBand="0" w:firstRowFirstColumn="0" w:firstRowLastColumn="0" w:lastRowFirstColumn="0" w:lastRowLastColumn="0"/>
            <w:tcW w:w="0" w:type="auto"/>
            <w:hideMark/>
          </w:tcPr>
          <w:p w14:paraId="3E583242"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R_12 (Dimensión)</w:t>
            </w:r>
          </w:p>
        </w:tc>
        <w:tc>
          <w:tcPr>
            <w:tcW w:w="0" w:type="auto"/>
            <w:hideMark/>
          </w:tcPr>
          <w:p w14:paraId="588CEDBC" w14:textId="77777777" w:rsidR="00D326C2" w:rsidRPr="00D326C2" w:rsidRDefault="00D326C2" w:rsidP="004061E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0.36785</w:t>
            </w:r>
          </w:p>
        </w:tc>
      </w:tr>
      <w:tr w:rsidR="00D326C2" w:rsidRPr="00D326C2" w14:paraId="22E51D8E" w14:textId="77777777" w:rsidTr="00CC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58A55" w14:textId="77777777" w:rsidR="00D326C2" w:rsidRPr="00D326C2" w:rsidRDefault="00D326C2" w:rsidP="004061E6">
            <w:pPr>
              <w:spacing w:after="160" w:line="480" w:lineRule="auto"/>
              <w:rPr>
                <w:rFonts w:ascii="Times New Roman" w:hAnsi="Times New Roman" w:cs="Times New Roman"/>
                <w:sz w:val="22"/>
                <w:szCs w:val="22"/>
              </w:rPr>
            </w:pPr>
            <w:r w:rsidRPr="00D326C2">
              <w:rPr>
                <w:rFonts w:ascii="Times New Roman" w:hAnsi="Times New Roman" w:cs="Times New Roman"/>
                <w:sz w:val="22"/>
                <w:szCs w:val="22"/>
              </w:rPr>
              <w:t>AT_1 (Atención)</w:t>
            </w:r>
          </w:p>
        </w:tc>
        <w:tc>
          <w:tcPr>
            <w:tcW w:w="0" w:type="auto"/>
            <w:hideMark/>
          </w:tcPr>
          <w:p w14:paraId="07D8CAB4" w14:textId="77777777" w:rsidR="00D326C2" w:rsidRPr="00D326C2" w:rsidRDefault="00D326C2" w:rsidP="004061E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326C2">
              <w:rPr>
                <w:rFonts w:ascii="Times New Roman" w:hAnsi="Times New Roman" w:cs="Times New Roman"/>
                <w:sz w:val="22"/>
                <w:szCs w:val="22"/>
              </w:rPr>
              <w:t>0.366896</w:t>
            </w:r>
          </w:p>
        </w:tc>
      </w:tr>
    </w:tbl>
    <w:p w14:paraId="4AAB92F9"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b/>
          <w:bCs/>
          <w:sz w:val="22"/>
          <w:szCs w:val="22"/>
        </w:rPr>
        <w:t>Conclusión:</w:t>
      </w:r>
      <w:r w:rsidRPr="00D326C2">
        <w:rPr>
          <w:rFonts w:ascii="Times New Roman" w:hAnsi="Times New Roman" w:cs="Times New Roman"/>
          <w:sz w:val="22"/>
          <w:szCs w:val="22"/>
        </w:rPr>
        <w:t xml:space="preserve"> La Confiabilidad (C_1) es la dimensión que presenta la correlación más fuerte con la calidad en el servicio percibida por los donadores, lo que subraya su importancia como factor clave de satisfacción y lealtad.</w:t>
      </w:r>
    </w:p>
    <w:p w14:paraId="333231C0" w14:textId="1341250E" w:rsidR="00D326C2" w:rsidRPr="00D326C2" w:rsidRDefault="00D326C2" w:rsidP="004061E6">
      <w:pPr>
        <w:spacing w:line="480" w:lineRule="auto"/>
        <w:rPr>
          <w:rFonts w:ascii="Times New Roman" w:hAnsi="Times New Roman" w:cs="Times New Roman"/>
          <w:sz w:val="22"/>
          <w:szCs w:val="22"/>
        </w:rPr>
      </w:pPr>
    </w:p>
    <w:p w14:paraId="27AB5DAE"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9. Acciones Tácticas Propuestas para la Mejora Organizacional</w:t>
      </w:r>
    </w:p>
    <w:p w14:paraId="7435A843"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A partir de los hallazgos del análisis estadístico, se proponen tres acciones tácticas relevantes para la mejora continua de la calidad en el servicio hacia los donadores de Fundación Teletón:</w:t>
      </w:r>
    </w:p>
    <w:p w14:paraId="4984FA31"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Propuesta 1: Fortalecer la Dimensión de Confiabilidad (C_1) y Fiabilidad (FI_1) - Programa "Promesa Cumplida"</w:t>
      </w:r>
    </w:p>
    <w:p w14:paraId="0D7EFA5A"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Justificación: La Confiabilidad (C_1) es el predictor más fuerte y la variable con mayor correlación con el Índice de Servicio. La Fiabilidad (FI_1) es la pregunta con la media más baja, indicando una oportunidad crítica de mejora.</w:t>
      </w:r>
    </w:p>
    <w:p w14:paraId="5B570C49"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Acción Táctica: Implementar un programa de "Promesa Cumplida" que se centre en la precisión y el cumplimiento de los compromisos con los donadores y aliados. Esto incluye:</w:t>
      </w:r>
    </w:p>
    <w:p w14:paraId="357F3233" w14:textId="77777777" w:rsidR="00D326C2" w:rsidRPr="00D326C2" w:rsidRDefault="00D326C2" w:rsidP="004061E6">
      <w:pPr>
        <w:numPr>
          <w:ilvl w:val="0"/>
          <w:numId w:val="10"/>
        </w:numPr>
        <w:spacing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 xml:space="preserve">Automatización de la comunicación </w:t>
      </w:r>
      <w:proofErr w:type="spellStart"/>
      <w:r w:rsidRPr="00D326C2">
        <w:rPr>
          <w:rFonts w:ascii="Times New Roman" w:hAnsi="Times New Roman" w:cs="Times New Roman"/>
          <w:sz w:val="22"/>
          <w:szCs w:val="22"/>
        </w:rPr>
        <w:t>post-donación</w:t>
      </w:r>
      <w:proofErr w:type="spellEnd"/>
      <w:r w:rsidRPr="00D326C2">
        <w:rPr>
          <w:rFonts w:ascii="Times New Roman" w:hAnsi="Times New Roman" w:cs="Times New Roman"/>
          <w:sz w:val="22"/>
          <w:szCs w:val="22"/>
        </w:rPr>
        <w:t xml:space="preserve"> con confirmaciones inmediatas y seguimiento oportuno.</w:t>
      </w:r>
    </w:p>
    <w:p w14:paraId="6BB594A8" w14:textId="77777777" w:rsidR="00D326C2" w:rsidRPr="00D326C2" w:rsidRDefault="00D326C2" w:rsidP="004061E6">
      <w:pPr>
        <w:numPr>
          <w:ilvl w:val="0"/>
          <w:numId w:val="10"/>
        </w:numPr>
        <w:spacing w:line="480" w:lineRule="auto"/>
        <w:rPr>
          <w:rFonts w:ascii="Times New Roman" w:hAnsi="Times New Roman" w:cs="Times New Roman"/>
          <w:sz w:val="22"/>
          <w:szCs w:val="22"/>
        </w:rPr>
      </w:pPr>
      <w:r w:rsidRPr="00D326C2">
        <w:rPr>
          <w:rFonts w:ascii="Times New Roman" w:hAnsi="Times New Roman" w:cs="Times New Roman"/>
          <w:sz w:val="22"/>
          <w:szCs w:val="22"/>
        </w:rPr>
        <w:t>Entrega de reportes de impacto personalizados y claros que muestren el uso específico de los fondos donados.</w:t>
      </w:r>
    </w:p>
    <w:p w14:paraId="3014F1D6" w14:textId="77777777" w:rsidR="00D326C2" w:rsidRPr="00D326C2" w:rsidRDefault="00D326C2" w:rsidP="004061E6">
      <w:pPr>
        <w:numPr>
          <w:ilvl w:val="0"/>
          <w:numId w:val="10"/>
        </w:numPr>
        <w:spacing w:line="480" w:lineRule="auto"/>
        <w:rPr>
          <w:rFonts w:ascii="Times New Roman" w:hAnsi="Times New Roman" w:cs="Times New Roman"/>
          <w:sz w:val="22"/>
          <w:szCs w:val="22"/>
        </w:rPr>
      </w:pPr>
      <w:r w:rsidRPr="00D326C2">
        <w:rPr>
          <w:rFonts w:ascii="Times New Roman" w:hAnsi="Times New Roman" w:cs="Times New Roman"/>
          <w:sz w:val="22"/>
          <w:szCs w:val="22"/>
        </w:rPr>
        <w:t>Implementación de un "</w:t>
      </w:r>
      <w:proofErr w:type="spellStart"/>
      <w:r w:rsidRPr="00D326C2">
        <w:rPr>
          <w:rFonts w:ascii="Times New Roman" w:hAnsi="Times New Roman" w:cs="Times New Roman"/>
          <w:sz w:val="22"/>
          <w:szCs w:val="22"/>
        </w:rPr>
        <w:t>Dashboard</w:t>
      </w:r>
      <w:proofErr w:type="spellEnd"/>
      <w:r w:rsidRPr="00D326C2">
        <w:rPr>
          <w:rFonts w:ascii="Times New Roman" w:hAnsi="Times New Roman" w:cs="Times New Roman"/>
          <w:sz w:val="22"/>
          <w:szCs w:val="22"/>
        </w:rPr>
        <w:t xml:space="preserve"> del Donador" en plataforma digital donde puedan verificar en tiempo real el estatus de sus donaciones y el impacto generado.</w:t>
      </w:r>
    </w:p>
    <w:p w14:paraId="2E8E5B83" w14:textId="77777777" w:rsidR="00D326C2" w:rsidRPr="00D326C2" w:rsidRDefault="00D326C2" w:rsidP="004061E6">
      <w:pPr>
        <w:numPr>
          <w:ilvl w:val="0"/>
          <w:numId w:val="10"/>
        </w:numPr>
        <w:spacing w:line="480" w:lineRule="auto"/>
        <w:rPr>
          <w:rFonts w:ascii="Times New Roman" w:hAnsi="Times New Roman" w:cs="Times New Roman"/>
          <w:sz w:val="22"/>
          <w:szCs w:val="22"/>
        </w:rPr>
      </w:pPr>
      <w:r w:rsidRPr="00D326C2">
        <w:rPr>
          <w:rFonts w:ascii="Times New Roman" w:hAnsi="Times New Roman" w:cs="Times New Roman"/>
          <w:sz w:val="22"/>
          <w:szCs w:val="22"/>
        </w:rPr>
        <w:t>Certificación de la transparencia en el uso de los fondos con auditorías externas publicadas y accesibles.</w:t>
      </w:r>
    </w:p>
    <w:p w14:paraId="26596FFB" w14:textId="77777777" w:rsidR="00D326C2" w:rsidRPr="00D326C2" w:rsidRDefault="00D326C2" w:rsidP="004061E6">
      <w:pPr>
        <w:numPr>
          <w:ilvl w:val="0"/>
          <w:numId w:val="10"/>
        </w:numPr>
        <w:spacing w:line="480" w:lineRule="auto"/>
        <w:rPr>
          <w:rFonts w:ascii="Times New Roman" w:hAnsi="Times New Roman" w:cs="Times New Roman"/>
          <w:sz w:val="22"/>
          <w:szCs w:val="22"/>
        </w:rPr>
      </w:pPr>
      <w:r w:rsidRPr="00D326C2">
        <w:rPr>
          <w:rFonts w:ascii="Times New Roman" w:hAnsi="Times New Roman" w:cs="Times New Roman"/>
          <w:sz w:val="22"/>
          <w:szCs w:val="22"/>
        </w:rPr>
        <w:t>Cumplimiento estricto de plazos de comunicación prometidos (respuestas, reportes, eventos).</w:t>
      </w:r>
    </w:p>
    <w:p w14:paraId="5029BD49"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Propuesta 2: Capitalizar la Empatía (E_1) como Ventaja Competitiva - Programa "Embajadores de Gratitud"</w:t>
      </w:r>
    </w:p>
    <w:p w14:paraId="6C4F6FD6"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Justificación: Las preguntas de Empatía (E_1, E_2, E_3) son las mejor evaluadas por los donadores y son predictores fuertes de la calidad general y lealtad a largo plazo.</w:t>
      </w:r>
    </w:p>
    <w:p w14:paraId="3E82482C"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Acción Táctica: Crear un "Programa de Embajadores de Gratitud" donde el personal mejor evaluado en empatía (con altas calificaciones en E_1, E_2, E_3) capacite al resto del equipo de relación con donadores. Las acciones incluyen:</w:t>
      </w:r>
    </w:p>
    <w:p w14:paraId="27179B53" w14:textId="77777777" w:rsidR="00D326C2" w:rsidRPr="00D326C2" w:rsidRDefault="00D326C2" w:rsidP="004061E6">
      <w:pPr>
        <w:numPr>
          <w:ilvl w:val="0"/>
          <w:numId w:val="11"/>
        </w:numPr>
        <w:spacing w:line="480" w:lineRule="auto"/>
        <w:rPr>
          <w:rFonts w:ascii="Times New Roman" w:hAnsi="Times New Roman" w:cs="Times New Roman"/>
          <w:sz w:val="22"/>
          <w:szCs w:val="22"/>
        </w:rPr>
      </w:pPr>
      <w:r w:rsidRPr="00D326C2">
        <w:rPr>
          <w:rFonts w:ascii="Times New Roman" w:hAnsi="Times New Roman" w:cs="Times New Roman"/>
          <w:sz w:val="22"/>
          <w:szCs w:val="22"/>
        </w:rPr>
        <w:t>Documentar y estandarizar el "Trato Humano Teletón" para asegurar que esta fortaleza emocional se mantenga y se replique en todos los puntos de contacto con donadores.</w:t>
      </w:r>
    </w:p>
    <w:p w14:paraId="4FAE82BD" w14:textId="77777777" w:rsidR="00D326C2" w:rsidRPr="00D326C2" w:rsidRDefault="00D326C2" w:rsidP="004061E6">
      <w:pPr>
        <w:numPr>
          <w:ilvl w:val="0"/>
          <w:numId w:val="11"/>
        </w:numPr>
        <w:spacing w:line="480" w:lineRule="auto"/>
        <w:rPr>
          <w:rFonts w:ascii="Times New Roman" w:hAnsi="Times New Roman" w:cs="Times New Roman"/>
          <w:sz w:val="22"/>
          <w:szCs w:val="22"/>
        </w:rPr>
      </w:pPr>
      <w:r w:rsidRPr="00D326C2">
        <w:rPr>
          <w:rFonts w:ascii="Times New Roman" w:hAnsi="Times New Roman" w:cs="Times New Roman"/>
          <w:sz w:val="22"/>
          <w:szCs w:val="22"/>
        </w:rPr>
        <w:t>Reconocer públicamente a donadores frecuentes (especialmente aquellos con 11+ años de relación) con eventos de agradecimiento personalizados y exclusivos.</w:t>
      </w:r>
    </w:p>
    <w:p w14:paraId="74DA605A" w14:textId="77777777" w:rsidR="00D326C2" w:rsidRPr="00D326C2" w:rsidRDefault="00D326C2" w:rsidP="004061E6">
      <w:pPr>
        <w:numPr>
          <w:ilvl w:val="0"/>
          <w:numId w:val="11"/>
        </w:numPr>
        <w:spacing w:line="480" w:lineRule="auto"/>
        <w:rPr>
          <w:rFonts w:ascii="Times New Roman" w:hAnsi="Times New Roman" w:cs="Times New Roman"/>
          <w:sz w:val="22"/>
          <w:szCs w:val="22"/>
        </w:rPr>
      </w:pPr>
      <w:r w:rsidRPr="00D326C2">
        <w:rPr>
          <w:rFonts w:ascii="Times New Roman" w:hAnsi="Times New Roman" w:cs="Times New Roman"/>
          <w:sz w:val="22"/>
          <w:szCs w:val="22"/>
        </w:rPr>
        <w:lastRenderedPageBreak/>
        <w:t>Crear un repositorio de historias de impacto real para compartir con donadores, conectándolos emocionalmente con los beneficiarios y reforzando el sentido de propósito de su contribución.</w:t>
      </w:r>
    </w:p>
    <w:p w14:paraId="78AF58C6" w14:textId="585BD9A1" w:rsidR="00D326C2" w:rsidRPr="00D326C2" w:rsidRDefault="00D326C2" w:rsidP="004061E6">
      <w:pPr>
        <w:numPr>
          <w:ilvl w:val="0"/>
          <w:numId w:val="11"/>
        </w:numPr>
        <w:spacing w:line="480" w:lineRule="auto"/>
        <w:rPr>
          <w:rFonts w:ascii="Times New Roman" w:hAnsi="Times New Roman" w:cs="Times New Roman"/>
          <w:sz w:val="22"/>
          <w:szCs w:val="22"/>
        </w:rPr>
      </w:pPr>
      <w:r w:rsidRPr="00D326C2">
        <w:rPr>
          <w:rFonts w:ascii="Times New Roman" w:hAnsi="Times New Roman" w:cs="Times New Roman"/>
          <w:sz w:val="22"/>
          <w:szCs w:val="22"/>
        </w:rPr>
        <w:t>Establecer una red de Embajadores (personal mejor evaluado) para atender de manera personalizada a donadores estratégicos y de alto valor.</w:t>
      </w:r>
    </w:p>
    <w:p w14:paraId="79ED9C56"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t>Propuesta 3: Optimizar los Canales de Atención (AT_1 y AT_2) - Auditoría de Eficiencia</w:t>
      </w:r>
    </w:p>
    <w:p w14:paraId="2B938B8D"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Justificación: Las variables de Atención (AT_1 y AT_2) tienen las correlaciones más bajas con el Índice de Servicio, lo que indica que el esfuerzo invertido en ellas no está generando el retorno esperado en satisfacción del donador.</w:t>
      </w:r>
    </w:p>
    <w:p w14:paraId="565D60E2" w14:textId="77777777" w:rsidR="00D326C2" w:rsidRPr="00D326C2" w:rsidRDefault="00D326C2" w:rsidP="004061E6">
      <w:pPr>
        <w:spacing w:line="480" w:lineRule="auto"/>
        <w:rPr>
          <w:rFonts w:ascii="Times New Roman" w:hAnsi="Times New Roman" w:cs="Times New Roman"/>
          <w:sz w:val="22"/>
          <w:szCs w:val="22"/>
        </w:rPr>
      </w:pPr>
      <w:r w:rsidRPr="00D326C2">
        <w:rPr>
          <w:rFonts w:ascii="Times New Roman" w:hAnsi="Times New Roman" w:cs="Times New Roman"/>
          <w:sz w:val="22"/>
          <w:szCs w:val="22"/>
        </w:rPr>
        <w:t>Acción Táctica: Realizar una auditoría de eficiencia de los canales de atención al donador (teléfono, correo electrónico, redes sociales, plataforma web) para reducir los tiempos de respuesta y simplificar los procesos. El objetivo no es solo ser amable (Empatía), sino ser eficiente y resolutivo (Atención). Las acciones incluyen:</w:t>
      </w:r>
    </w:p>
    <w:p w14:paraId="575AB4F0" w14:textId="77777777" w:rsidR="00D326C2" w:rsidRPr="00D326C2" w:rsidRDefault="00D326C2" w:rsidP="004061E6">
      <w:pPr>
        <w:numPr>
          <w:ilvl w:val="0"/>
          <w:numId w:val="12"/>
        </w:numPr>
        <w:spacing w:line="480" w:lineRule="auto"/>
        <w:rPr>
          <w:rFonts w:ascii="Times New Roman" w:hAnsi="Times New Roman" w:cs="Times New Roman"/>
          <w:sz w:val="22"/>
          <w:szCs w:val="22"/>
        </w:rPr>
      </w:pPr>
      <w:r w:rsidRPr="00D326C2">
        <w:rPr>
          <w:rFonts w:ascii="Times New Roman" w:hAnsi="Times New Roman" w:cs="Times New Roman"/>
          <w:sz w:val="22"/>
          <w:szCs w:val="22"/>
        </w:rPr>
        <w:t xml:space="preserve">Medir tiempos de respuesta actuales en todos los canales y establecer </w:t>
      </w:r>
      <w:proofErr w:type="spellStart"/>
      <w:r w:rsidRPr="00D326C2">
        <w:rPr>
          <w:rFonts w:ascii="Times New Roman" w:hAnsi="Times New Roman" w:cs="Times New Roman"/>
          <w:sz w:val="22"/>
          <w:szCs w:val="22"/>
        </w:rPr>
        <w:t>KPIs</w:t>
      </w:r>
      <w:proofErr w:type="spellEnd"/>
      <w:r w:rsidRPr="00D326C2">
        <w:rPr>
          <w:rFonts w:ascii="Times New Roman" w:hAnsi="Times New Roman" w:cs="Times New Roman"/>
          <w:sz w:val="22"/>
          <w:szCs w:val="22"/>
        </w:rPr>
        <w:t xml:space="preserve"> de mejora (ejemplo: respuesta en menos de 24 horas).</w:t>
      </w:r>
    </w:p>
    <w:p w14:paraId="4DDC382C" w14:textId="77777777" w:rsidR="00D326C2" w:rsidRPr="00D326C2" w:rsidRDefault="00D326C2" w:rsidP="004061E6">
      <w:pPr>
        <w:numPr>
          <w:ilvl w:val="0"/>
          <w:numId w:val="12"/>
        </w:numPr>
        <w:spacing w:line="480" w:lineRule="auto"/>
        <w:rPr>
          <w:rFonts w:ascii="Times New Roman" w:hAnsi="Times New Roman" w:cs="Times New Roman"/>
          <w:sz w:val="22"/>
          <w:szCs w:val="22"/>
        </w:rPr>
      </w:pPr>
      <w:r w:rsidRPr="00D326C2">
        <w:rPr>
          <w:rFonts w:ascii="Times New Roman" w:hAnsi="Times New Roman" w:cs="Times New Roman"/>
          <w:sz w:val="22"/>
          <w:szCs w:val="22"/>
        </w:rPr>
        <w:t>Implementar un CRM (</w:t>
      </w:r>
      <w:proofErr w:type="spellStart"/>
      <w:r w:rsidRPr="00D326C2">
        <w:rPr>
          <w:rFonts w:ascii="Times New Roman" w:hAnsi="Times New Roman" w:cs="Times New Roman"/>
          <w:sz w:val="22"/>
          <w:szCs w:val="22"/>
        </w:rPr>
        <w:t>Customer</w:t>
      </w:r>
      <w:proofErr w:type="spellEnd"/>
      <w:r w:rsidRPr="00D326C2">
        <w:rPr>
          <w:rFonts w:ascii="Times New Roman" w:hAnsi="Times New Roman" w:cs="Times New Roman"/>
          <w:sz w:val="22"/>
          <w:szCs w:val="22"/>
        </w:rPr>
        <w:t xml:space="preserve"> </w:t>
      </w:r>
      <w:proofErr w:type="spellStart"/>
      <w:r w:rsidRPr="00D326C2">
        <w:rPr>
          <w:rFonts w:ascii="Times New Roman" w:hAnsi="Times New Roman" w:cs="Times New Roman"/>
          <w:sz w:val="22"/>
          <w:szCs w:val="22"/>
        </w:rPr>
        <w:t>Relationship</w:t>
      </w:r>
      <w:proofErr w:type="spellEnd"/>
      <w:r w:rsidRPr="00D326C2">
        <w:rPr>
          <w:rFonts w:ascii="Times New Roman" w:hAnsi="Times New Roman" w:cs="Times New Roman"/>
          <w:sz w:val="22"/>
          <w:szCs w:val="22"/>
        </w:rPr>
        <w:t xml:space="preserve"> Management) especializado para la gestión integral de relaciones con donadores.</w:t>
      </w:r>
    </w:p>
    <w:p w14:paraId="1463D9C9" w14:textId="77777777" w:rsidR="00D326C2" w:rsidRPr="00D326C2" w:rsidRDefault="00D326C2" w:rsidP="004061E6">
      <w:pPr>
        <w:numPr>
          <w:ilvl w:val="0"/>
          <w:numId w:val="12"/>
        </w:numPr>
        <w:spacing w:line="480" w:lineRule="auto"/>
        <w:rPr>
          <w:rFonts w:ascii="Times New Roman" w:hAnsi="Times New Roman" w:cs="Times New Roman"/>
          <w:sz w:val="22"/>
          <w:szCs w:val="22"/>
        </w:rPr>
      </w:pPr>
      <w:r w:rsidRPr="00D326C2">
        <w:rPr>
          <w:rFonts w:ascii="Times New Roman" w:hAnsi="Times New Roman" w:cs="Times New Roman"/>
          <w:sz w:val="22"/>
          <w:szCs w:val="22"/>
        </w:rPr>
        <w:t>Simplificar procesos de donación, actualización de datos y solicitud de información.</w:t>
      </w:r>
    </w:p>
    <w:p w14:paraId="55A6B9C7" w14:textId="77777777" w:rsidR="00D326C2" w:rsidRPr="00D326C2" w:rsidRDefault="00D326C2" w:rsidP="004061E6">
      <w:pPr>
        <w:numPr>
          <w:ilvl w:val="0"/>
          <w:numId w:val="12"/>
        </w:numPr>
        <w:spacing w:line="480" w:lineRule="auto"/>
        <w:rPr>
          <w:rFonts w:ascii="Times New Roman" w:hAnsi="Times New Roman" w:cs="Times New Roman"/>
          <w:sz w:val="22"/>
          <w:szCs w:val="22"/>
        </w:rPr>
      </w:pPr>
      <w:r w:rsidRPr="00D326C2">
        <w:rPr>
          <w:rFonts w:ascii="Times New Roman" w:hAnsi="Times New Roman" w:cs="Times New Roman"/>
          <w:sz w:val="22"/>
          <w:szCs w:val="22"/>
        </w:rPr>
        <w:t>Medir tasa de resolución en primer contacto para identificar cuellos de botella.</w:t>
      </w:r>
    </w:p>
    <w:p w14:paraId="7831E540" w14:textId="77777777" w:rsidR="00D326C2" w:rsidRPr="00D326C2" w:rsidRDefault="00D326C2" w:rsidP="004061E6">
      <w:pPr>
        <w:numPr>
          <w:ilvl w:val="0"/>
          <w:numId w:val="12"/>
        </w:numPr>
        <w:spacing w:line="480" w:lineRule="auto"/>
        <w:rPr>
          <w:rFonts w:ascii="Times New Roman" w:hAnsi="Times New Roman" w:cs="Times New Roman"/>
          <w:sz w:val="22"/>
          <w:szCs w:val="22"/>
        </w:rPr>
      </w:pPr>
      <w:r w:rsidRPr="00D326C2">
        <w:rPr>
          <w:rFonts w:ascii="Times New Roman" w:hAnsi="Times New Roman" w:cs="Times New Roman"/>
          <w:sz w:val="22"/>
          <w:szCs w:val="22"/>
        </w:rPr>
        <w:t>Liberar recursos de canales ineficientes hacia dimensiones de mayor impacto en satisfacción (Confiabilidad y Fiabilidad), optimizando la asignación de personal y presupuesto.</w:t>
      </w:r>
    </w:p>
    <w:p w14:paraId="2D34BFE9" w14:textId="3F410FF9" w:rsidR="00D326C2" w:rsidRPr="00D326C2" w:rsidRDefault="00D326C2" w:rsidP="004061E6">
      <w:pPr>
        <w:spacing w:line="480" w:lineRule="auto"/>
        <w:rPr>
          <w:rFonts w:ascii="Times New Roman" w:hAnsi="Times New Roman" w:cs="Times New Roman"/>
          <w:sz w:val="22"/>
          <w:szCs w:val="22"/>
        </w:rPr>
      </w:pPr>
    </w:p>
    <w:p w14:paraId="5BB32AA1" w14:textId="77777777" w:rsidR="00D326C2" w:rsidRPr="00D326C2" w:rsidRDefault="00D326C2" w:rsidP="004061E6">
      <w:pPr>
        <w:spacing w:line="480" w:lineRule="auto"/>
        <w:rPr>
          <w:rFonts w:ascii="Times New Roman" w:hAnsi="Times New Roman" w:cs="Times New Roman"/>
          <w:b/>
          <w:bCs/>
          <w:sz w:val="22"/>
          <w:szCs w:val="22"/>
        </w:rPr>
      </w:pPr>
      <w:r w:rsidRPr="00D326C2">
        <w:rPr>
          <w:rFonts w:ascii="Times New Roman" w:hAnsi="Times New Roman" w:cs="Times New Roman"/>
          <w:b/>
          <w:bCs/>
          <w:sz w:val="22"/>
          <w:szCs w:val="22"/>
        </w:rPr>
        <w:lastRenderedPageBreak/>
        <w:t>Referencias</w:t>
      </w:r>
    </w:p>
    <w:p w14:paraId="56553239" w14:textId="53F76305" w:rsidR="004061E6" w:rsidRPr="004061E6" w:rsidRDefault="004061E6" w:rsidP="004061E6">
      <w:pPr>
        <w:spacing w:line="480" w:lineRule="auto"/>
        <w:rPr>
          <w:rFonts w:ascii="Times New Roman" w:hAnsi="Times New Roman" w:cs="Times New Roman"/>
          <w:sz w:val="22"/>
          <w:szCs w:val="22"/>
        </w:rPr>
      </w:pPr>
      <w:r w:rsidRPr="004061E6">
        <w:rPr>
          <w:rFonts w:ascii="Times New Roman" w:hAnsi="Times New Roman" w:cs="Times New Roman"/>
          <w:i/>
          <w:iCs/>
          <w:sz w:val="22"/>
          <w:szCs w:val="22"/>
        </w:rPr>
        <w:t>¡Construyamos juntos un mundo más sostenible e inclusivo!  – Teletón México</w:t>
      </w:r>
      <w:r w:rsidRPr="004061E6">
        <w:rPr>
          <w:rFonts w:ascii="Times New Roman" w:hAnsi="Times New Roman" w:cs="Times New Roman"/>
          <w:sz w:val="22"/>
          <w:szCs w:val="22"/>
        </w:rPr>
        <w:t>. (s. f.). </w:t>
      </w:r>
      <w:hyperlink r:id="rId8" w:history="1">
        <w:r w:rsidRPr="004061E6">
          <w:rPr>
            <w:rStyle w:val="Hipervnculo"/>
            <w:rFonts w:ascii="Times New Roman" w:hAnsi="Times New Roman" w:cs="Times New Roman"/>
            <w:sz w:val="22"/>
            <w:szCs w:val="22"/>
          </w:rPr>
          <w:t>https://teleton.org/construyamos-juntos-un-mundo-mas-sostenible-e-inclusivo/</w:t>
        </w:r>
      </w:hyperlink>
    </w:p>
    <w:p w14:paraId="1F51A118" w14:textId="691BC0C9" w:rsidR="004061E6" w:rsidRPr="004061E6" w:rsidRDefault="004061E6" w:rsidP="004061E6">
      <w:pPr>
        <w:spacing w:line="480" w:lineRule="auto"/>
        <w:rPr>
          <w:rFonts w:ascii="Times New Roman" w:hAnsi="Times New Roman" w:cs="Times New Roman"/>
          <w:sz w:val="22"/>
          <w:szCs w:val="22"/>
        </w:rPr>
      </w:pPr>
      <w:r w:rsidRPr="004061E6">
        <w:rPr>
          <w:rFonts w:ascii="Times New Roman" w:hAnsi="Times New Roman" w:cs="Times New Roman"/>
          <w:i/>
          <w:iCs/>
          <w:sz w:val="22"/>
          <w:szCs w:val="22"/>
        </w:rPr>
        <w:t>Teletón México – EL AMOR y LA CIENCIA AL SERVICIO DE LA VIDA</w:t>
      </w:r>
      <w:r w:rsidRPr="004061E6">
        <w:rPr>
          <w:rFonts w:ascii="Times New Roman" w:hAnsi="Times New Roman" w:cs="Times New Roman"/>
          <w:sz w:val="22"/>
          <w:szCs w:val="22"/>
        </w:rPr>
        <w:t xml:space="preserve">. (s. f.). </w:t>
      </w:r>
      <w:hyperlink r:id="rId9" w:history="1">
        <w:r w:rsidRPr="004061E6">
          <w:rPr>
            <w:rStyle w:val="Hipervnculo"/>
            <w:rFonts w:ascii="Times New Roman" w:hAnsi="Times New Roman" w:cs="Times New Roman"/>
            <w:sz w:val="22"/>
            <w:szCs w:val="22"/>
          </w:rPr>
          <w:t>https://teleton.org/</w:t>
        </w:r>
      </w:hyperlink>
    </w:p>
    <w:p w14:paraId="52AF77BC" w14:textId="3A1C70DA" w:rsidR="004061E6" w:rsidRPr="004061E6" w:rsidRDefault="004061E6" w:rsidP="004061E6">
      <w:pPr>
        <w:spacing w:line="480" w:lineRule="auto"/>
        <w:rPr>
          <w:rFonts w:ascii="Times New Roman" w:hAnsi="Times New Roman" w:cs="Times New Roman"/>
          <w:sz w:val="22"/>
          <w:szCs w:val="22"/>
        </w:rPr>
      </w:pPr>
      <w:r w:rsidRPr="004061E6">
        <w:rPr>
          <w:rFonts w:ascii="Times New Roman" w:hAnsi="Times New Roman" w:cs="Times New Roman"/>
          <w:i/>
          <w:iCs/>
          <w:sz w:val="22"/>
          <w:szCs w:val="22"/>
        </w:rPr>
        <w:t>El Teletón está en crisis y estas son las causas, según su presidente</w:t>
      </w:r>
      <w:r w:rsidRPr="004061E6">
        <w:rPr>
          <w:rFonts w:ascii="Times New Roman" w:hAnsi="Times New Roman" w:cs="Times New Roman"/>
          <w:sz w:val="22"/>
          <w:szCs w:val="22"/>
        </w:rPr>
        <w:t xml:space="preserve">. (s. f.). Animal </w:t>
      </w:r>
      <w:proofErr w:type="spellStart"/>
      <w:r w:rsidRPr="004061E6">
        <w:rPr>
          <w:rFonts w:ascii="Times New Roman" w:hAnsi="Times New Roman" w:cs="Times New Roman"/>
          <w:sz w:val="22"/>
          <w:szCs w:val="22"/>
        </w:rPr>
        <w:t>Politico</w:t>
      </w:r>
      <w:proofErr w:type="spellEnd"/>
      <w:r w:rsidRPr="004061E6">
        <w:rPr>
          <w:rFonts w:ascii="Times New Roman" w:hAnsi="Times New Roman" w:cs="Times New Roman"/>
          <w:sz w:val="22"/>
          <w:szCs w:val="22"/>
        </w:rPr>
        <w:t xml:space="preserve">. </w:t>
      </w:r>
      <w:hyperlink r:id="rId10" w:history="1">
        <w:r w:rsidRPr="004061E6">
          <w:rPr>
            <w:rStyle w:val="Hipervnculo"/>
            <w:rFonts w:ascii="Times New Roman" w:hAnsi="Times New Roman" w:cs="Times New Roman"/>
            <w:sz w:val="22"/>
            <w:szCs w:val="22"/>
          </w:rPr>
          <w:t>https://animalpolitico.com/2016/08/crisis-teleton-landeros-televisa</w:t>
        </w:r>
      </w:hyperlink>
    </w:p>
    <w:p w14:paraId="00DCD37B" w14:textId="77777777" w:rsidR="004061E6" w:rsidRPr="004061E6" w:rsidRDefault="004061E6" w:rsidP="004061E6"/>
    <w:p w14:paraId="3404B8E6" w14:textId="77777777" w:rsidR="00AE1B2C" w:rsidRDefault="00AE1B2C"/>
    <w:sectPr w:rsidR="00AE1B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7D8"/>
    <w:multiLevelType w:val="multilevel"/>
    <w:tmpl w:val="6B4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6F76"/>
    <w:multiLevelType w:val="multilevel"/>
    <w:tmpl w:val="86E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57CB6"/>
    <w:multiLevelType w:val="multilevel"/>
    <w:tmpl w:val="558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34AA"/>
    <w:multiLevelType w:val="multilevel"/>
    <w:tmpl w:val="3E7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637E9"/>
    <w:multiLevelType w:val="multilevel"/>
    <w:tmpl w:val="3E5C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75F89"/>
    <w:multiLevelType w:val="multilevel"/>
    <w:tmpl w:val="B86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67409"/>
    <w:multiLevelType w:val="multilevel"/>
    <w:tmpl w:val="9120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6304C"/>
    <w:multiLevelType w:val="multilevel"/>
    <w:tmpl w:val="032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43E5B"/>
    <w:multiLevelType w:val="multilevel"/>
    <w:tmpl w:val="E4B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538C1"/>
    <w:multiLevelType w:val="multilevel"/>
    <w:tmpl w:val="E2F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47EE3"/>
    <w:multiLevelType w:val="multilevel"/>
    <w:tmpl w:val="508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3676C"/>
    <w:multiLevelType w:val="multilevel"/>
    <w:tmpl w:val="ADA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143056">
    <w:abstractNumId w:val="10"/>
  </w:num>
  <w:num w:numId="2" w16cid:durableId="1199120287">
    <w:abstractNumId w:val="4"/>
  </w:num>
  <w:num w:numId="3" w16cid:durableId="16977039">
    <w:abstractNumId w:val="7"/>
  </w:num>
  <w:num w:numId="4" w16cid:durableId="1248416768">
    <w:abstractNumId w:val="11"/>
  </w:num>
  <w:num w:numId="5" w16cid:durableId="892229070">
    <w:abstractNumId w:val="6"/>
  </w:num>
  <w:num w:numId="6" w16cid:durableId="721103633">
    <w:abstractNumId w:val="0"/>
  </w:num>
  <w:num w:numId="7" w16cid:durableId="1095902372">
    <w:abstractNumId w:val="9"/>
  </w:num>
  <w:num w:numId="8" w16cid:durableId="1771463703">
    <w:abstractNumId w:val="8"/>
  </w:num>
  <w:num w:numId="9" w16cid:durableId="1295986339">
    <w:abstractNumId w:val="3"/>
  </w:num>
  <w:num w:numId="10" w16cid:durableId="1087842047">
    <w:abstractNumId w:val="2"/>
  </w:num>
  <w:num w:numId="11" w16cid:durableId="1083526859">
    <w:abstractNumId w:val="5"/>
  </w:num>
  <w:num w:numId="12" w16cid:durableId="313221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C2"/>
    <w:rsid w:val="002D03A2"/>
    <w:rsid w:val="003814F3"/>
    <w:rsid w:val="004061E6"/>
    <w:rsid w:val="006C4A4A"/>
    <w:rsid w:val="00857931"/>
    <w:rsid w:val="00AE1B2C"/>
    <w:rsid w:val="00B1173C"/>
    <w:rsid w:val="00CC7BD2"/>
    <w:rsid w:val="00D326C2"/>
    <w:rsid w:val="00D516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01F6"/>
  <w15:chartTrackingRefBased/>
  <w15:docId w15:val="{CB1E4B4A-CACD-4AD2-88F4-918A43EB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32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326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326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326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326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6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6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6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6C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326C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326C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326C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326C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326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6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6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6C2"/>
    <w:rPr>
      <w:rFonts w:eastAsiaTheme="majorEastAsia" w:cstheme="majorBidi"/>
      <w:color w:val="272727" w:themeColor="text1" w:themeTint="D8"/>
    </w:rPr>
  </w:style>
  <w:style w:type="paragraph" w:styleId="Ttulo">
    <w:name w:val="Title"/>
    <w:basedOn w:val="Normal"/>
    <w:next w:val="Normal"/>
    <w:link w:val="TtuloCar"/>
    <w:uiPriority w:val="10"/>
    <w:qFormat/>
    <w:rsid w:val="00D3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6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6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6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6C2"/>
    <w:pPr>
      <w:spacing w:before="160"/>
      <w:jc w:val="center"/>
    </w:pPr>
    <w:rPr>
      <w:i/>
      <w:iCs/>
      <w:color w:val="404040" w:themeColor="text1" w:themeTint="BF"/>
    </w:rPr>
  </w:style>
  <w:style w:type="character" w:customStyle="1" w:styleId="CitaCar">
    <w:name w:val="Cita Car"/>
    <w:basedOn w:val="Fuentedeprrafopredeter"/>
    <w:link w:val="Cita"/>
    <w:uiPriority w:val="29"/>
    <w:rsid w:val="00D326C2"/>
    <w:rPr>
      <w:i/>
      <w:iCs/>
      <w:color w:val="404040" w:themeColor="text1" w:themeTint="BF"/>
    </w:rPr>
  </w:style>
  <w:style w:type="paragraph" w:styleId="Prrafodelista">
    <w:name w:val="List Paragraph"/>
    <w:basedOn w:val="Normal"/>
    <w:uiPriority w:val="34"/>
    <w:qFormat/>
    <w:rsid w:val="00D326C2"/>
    <w:pPr>
      <w:ind w:left="720"/>
      <w:contextualSpacing/>
    </w:pPr>
  </w:style>
  <w:style w:type="character" w:styleId="nfasisintenso">
    <w:name w:val="Intense Emphasis"/>
    <w:basedOn w:val="Fuentedeprrafopredeter"/>
    <w:uiPriority w:val="21"/>
    <w:qFormat/>
    <w:rsid w:val="00D326C2"/>
    <w:rPr>
      <w:i/>
      <w:iCs/>
      <w:color w:val="2F5496" w:themeColor="accent1" w:themeShade="BF"/>
    </w:rPr>
  </w:style>
  <w:style w:type="paragraph" w:styleId="Citadestacada">
    <w:name w:val="Intense Quote"/>
    <w:basedOn w:val="Normal"/>
    <w:next w:val="Normal"/>
    <w:link w:val="CitadestacadaCar"/>
    <w:uiPriority w:val="30"/>
    <w:qFormat/>
    <w:rsid w:val="00D32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326C2"/>
    <w:rPr>
      <w:i/>
      <w:iCs/>
      <w:color w:val="2F5496" w:themeColor="accent1" w:themeShade="BF"/>
    </w:rPr>
  </w:style>
  <w:style w:type="character" w:styleId="Referenciaintensa">
    <w:name w:val="Intense Reference"/>
    <w:basedOn w:val="Fuentedeprrafopredeter"/>
    <w:uiPriority w:val="32"/>
    <w:qFormat/>
    <w:rsid w:val="00D326C2"/>
    <w:rPr>
      <w:b/>
      <w:bCs/>
      <w:smallCaps/>
      <w:color w:val="2F5496" w:themeColor="accent1" w:themeShade="BF"/>
      <w:spacing w:val="5"/>
    </w:rPr>
  </w:style>
  <w:style w:type="table" w:styleId="Tablanormal1">
    <w:name w:val="Plain Table 1"/>
    <w:basedOn w:val="Tablanormal"/>
    <w:uiPriority w:val="41"/>
    <w:rsid w:val="00CC7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4061E6"/>
    <w:rPr>
      <w:color w:val="0563C1" w:themeColor="hyperlink"/>
      <w:u w:val="single"/>
    </w:rPr>
  </w:style>
  <w:style w:type="character" w:styleId="Mencinsinresolver">
    <w:name w:val="Unresolved Mention"/>
    <w:basedOn w:val="Fuentedeprrafopredeter"/>
    <w:uiPriority w:val="99"/>
    <w:semiHidden/>
    <w:unhideWhenUsed/>
    <w:rsid w:val="00406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eton.org/construyamos-juntos-un-mundo-mas-sostenible-e-inclusiv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nimalpolitico.com/2016/08/crisis-teleton-landeros-televisa" TargetMode="External"/><Relationship Id="rId4" Type="http://schemas.openxmlformats.org/officeDocument/2006/relationships/webSettings" Target="webSettings.xml"/><Relationship Id="rId9" Type="http://schemas.openxmlformats.org/officeDocument/2006/relationships/hyperlink" Target="https://teleton.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18</Pages>
  <Words>3190</Words>
  <Characters>17550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CORPORATIVO</dc:creator>
  <cp:keywords/>
  <dc:description/>
  <cp:lastModifiedBy>CORPORATIVO</cp:lastModifiedBy>
  <cp:revision>2</cp:revision>
  <dcterms:created xsi:type="dcterms:W3CDTF">2025-11-27T05:02:00Z</dcterms:created>
  <dcterms:modified xsi:type="dcterms:W3CDTF">2025-11-27T05:02:00Z</dcterms:modified>
</cp:coreProperties>
</file>