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480" w:before="0" w:line="240" w:lineRule="auto"/>
        <w:jc w:val="center"/>
      </w:pPr>
      <w:r>
        <w:rPr>
          <w:rFonts w:ascii="Arial" w:hAnsi="Arial"/>
          <w:b/>
          <w:sz w:val="28"/>
        </w:rPr>
        <w:t>TECNOLÓGICO DE MONTERREY</w:t>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480" w:before="0" w:line="240" w:lineRule="auto"/>
        <w:jc w:val="center"/>
      </w:pPr>
      <w:r>
        <w:rPr>
          <w:rFonts w:ascii="Arial" w:hAnsi="Arial"/>
          <w:b/>
          <w:sz w:val="28"/>
        </w:rPr>
        <w:t>PROPUESTA DE ESTANDARIZACIÓN DE LA INFORMACIÓN MEDIANTE EL DISEÑO DE UN SISTEMA DE GESTIÓN FINANCIERA MODULAR EN RÚSTICO PIZZA Y PAN</w:t>
      </w:r>
    </w:p>
    <w:p>
      <w:pPr>
        <w:spacing w:after="120" w:before="0" w:line="240" w:lineRule="auto"/>
      </w:pPr>
      <w:r>
        <w:rPr>
          <w:rFonts w:ascii="Arial" w:hAnsi="Arial"/>
          <w:b w:val="0"/>
          <w:sz w:val="24"/>
        </w:rPr>
      </w:r>
    </w:p>
    <w:p>
      <w:pPr>
        <w:spacing w:after="480" w:before="0" w:line="240" w:lineRule="auto"/>
        <w:jc w:val="center"/>
      </w:pPr>
      <w:r>
        <w:rPr>
          <w:rFonts w:ascii="Arial" w:hAnsi="Arial"/>
          <w:b w:val="0"/>
          <w:sz w:val="24"/>
        </w:rPr>
        <w:t>Anexo: Descripción del Sistema Modular de Gestión Financiera</w:t>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240" w:before="0" w:line="240" w:lineRule="auto"/>
        <w:jc w:val="center"/>
      </w:pPr>
      <w:r>
        <w:rPr>
          <w:rFonts w:ascii="Arial" w:hAnsi="Arial"/>
          <w:b w:val="0"/>
          <w:sz w:val="24"/>
        </w:rPr>
        <w:t>A00397831 STEPHANIA DIAZ LORENZO</w:t>
      </w:r>
    </w:p>
    <w:p>
      <w:pPr>
        <w:spacing w:after="240" w:before="0" w:line="240" w:lineRule="auto"/>
        <w:jc w:val="center"/>
      </w:pPr>
      <w:r>
        <w:rPr>
          <w:rFonts w:ascii="Arial" w:hAnsi="Arial"/>
          <w:b w:val="0"/>
          <w:sz w:val="24"/>
        </w:rPr>
        <w:t>PIE - 206</w:t>
      </w:r>
    </w:p>
    <w:p>
      <w:pPr>
        <w:spacing w:after="240" w:before="0" w:line="240" w:lineRule="auto"/>
        <w:jc w:val="center"/>
      </w:pPr>
      <w:r>
        <w:rPr>
          <w:rFonts w:ascii="Arial" w:hAnsi="Arial"/>
          <w:b w:val="0"/>
          <w:sz w:val="24"/>
        </w:rPr>
        <w:t>CAMPUS SANTA FE</w:t>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jc w:val="center"/>
      </w:pPr>
      <w:r>
        <w:rPr>
          <w:rFonts w:ascii="Arial" w:hAnsi="Arial"/>
          <w:b w:val="0"/>
          <w:sz w:val="24"/>
        </w:rPr>
        <w:t>16 DE MARZO DE 2026</w:t>
      </w:r>
    </w:p>
    <w:p>
      <w:r>
        <w:br w:type="page"/>
      </w:r>
    </w:p>
    <w:p>
      <w:pPr>
        <w:spacing w:after="240" w:before="0" w:line="240" w:lineRule="auto"/>
      </w:pPr>
      <w:r>
        <w:rPr>
          <w:rFonts w:ascii="Arial" w:hAnsi="Arial"/>
          <w:b/>
          <w:sz w:val="28"/>
        </w:rPr>
        <w:t>Anexo: Descripción del Sistema Modular de Gestión Financiera</w:t>
      </w:r>
    </w:p>
    <w:p>
      <w:pPr>
        <w:spacing w:after="160" w:before="120" w:line="240" w:lineRule="auto"/>
      </w:pPr>
      <w:r>
        <w:rPr>
          <w:rFonts w:ascii="Arial" w:hAnsi="Arial"/>
          <w:b/>
          <w:sz w:val="24"/>
        </w:rPr>
        <w:t>Presentación</w:t>
      </w:r>
    </w:p>
    <w:p>
      <w:pPr>
        <w:spacing w:after="120" w:before="0" w:line="240" w:lineRule="auto"/>
        <w:jc w:val="both"/>
      </w:pPr>
      <w:r>
        <w:rPr>
          <w:rFonts w:ascii="Arial" w:hAnsi="Arial"/>
          <w:sz w:val="24"/>
        </w:rPr>
        <w:t>El presente anexo describe la estructura operativa del sistema modular de gestión financiera diseñado para Rústico Pizza y Pan como resultado de la investigación. El sistema se materializa en un libro de Excel compuesto por 11 hojas de cálculo interconectadas, agrupadas en cinco módulos que corresponden directamente a las siete brechas identificadas durante el diagnóstico. Cada módulo fue diseñado bajo tres principios: simplicidad operativa (para ser utilizado por personas sin formación contable), compatibilidad con los procesos que la empresa ya realiza, e implementación progresiva que no paralice la operación diaria.</w:t>
      </w:r>
    </w:p>
    <w:p>
      <w:pPr>
        <w:spacing w:after="120" w:before="0" w:line="240" w:lineRule="auto"/>
        <w:jc w:val="both"/>
      </w:pPr>
      <w:r>
        <w:rPr>
          <w:rFonts w:ascii="Arial" w:hAnsi="Arial"/>
          <w:sz w:val="24"/>
        </w:rPr>
        <w:t>El archivo se denomina Anexo_Sistema_Financiero_Rustico.xlsx y está organizado de la siguiente manera.</w:t>
      </w:r>
    </w:p>
    <w:p>
      <w:pPr>
        <w:spacing w:after="160" w:before="240" w:line="240" w:lineRule="auto"/>
      </w:pPr>
      <w:r>
        <w:rPr>
          <w:rFonts w:ascii="Arial" w:hAnsi="Arial"/>
          <w:b/>
          <w:sz w:val="26"/>
        </w:rPr>
        <w:t>Módulo 1. Punto de Venta y Cierre de Caja</w:t>
      </w:r>
    </w:p>
    <w:p>
      <w:pPr>
        <w:spacing w:after="120" w:before="0" w:line="240" w:lineRule="auto"/>
        <w:jc w:val="both"/>
      </w:pPr>
      <w:r>
        <w:rPr>
          <w:rFonts w:ascii="Arial" w:hAnsi="Arial"/>
          <w:sz w:val="24"/>
        </w:rPr>
        <w:t>Este módulo aborda la brecha H1 del diagnóstico: el registro incompleto de ventas, que presentó ocho días sin datos en tres meses y la ausencia de desglose por producto. Se compone de dos hojas de cálculo.</w:t>
      </w:r>
    </w:p>
    <w:p>
      <w:pPr>
        <w:spacing w:after="120" w:before="0" w:line="240" w:lineRule="auto"/>
        <w:jc w:val="both"/>
      </w:pPr>
      <w:r>
        <w:rPr>
          <w:rFonts w:ascii="Arial" w:hAnsi="Arial"/>
          <w:b/>
          <w:sz w:val="24"/>
        </w:rPr>
        <w:t xml:space="preserve">Hoja "Registro de Ventas". </w:t>
      </w:r>
      <w:r>
        <w:rPr>
          <w:rFonts w:ascii="Arial" w:hAnsi="Arial"/>
          <w:sz w:val="24"/>
        </w:rPr>
        <w:t>Captura cada transacción individual con los siguientes campos: fecha, hora, folio consecutivo diario, producto vendido, categoría (pizza, pan/repostería, bebida u otro), cantidad, precio unitario, subtotal (calculado automáticamente), método de pago (efectivo, tarjeta o transferencia), canal de venta (mostrador, para llevar, teléfono/WhatsApp, plataforma de delivery o evento), cliente y notas. Los campos de categoría, método de pago y canal de venta operan mediante menús desplegables que impiden el ingreso de valores no estandarizados. Cuando una orden incluye varios productos, se utiliza el mismo folio con una fila por producto, lo que permite reconstruir el ticket promedio por transacción. La responsable principal de esta hoja es Sofía, quien debe registrar cada venta en el momento en que ocurre, no al final del día. Esta instrucción responde directamente a la observación de que durante periodos de alta demanda Sofía atendía clientes consecutivos sin registrar y después reconstruía los montos de memoria.</w:t>
      </w:r>
    </w:p>
    <w:p>
      <w:pPr>
        <w:spacing w:after="120" w:before="0" w:line="240" w:lineRule="auto"/>
        <w:jc w:val="both"/>
      </w:pPr>
      <w:r>
        <w:rPr>
          <w:rFonts w:ascii="Arial" w:hAnsi="Arial"/>
          <w:b/>
          <w:sz w:val="24"/>
        </w:rPr>
        <w:t xml:space="preserve">Hoja "Corte de Caja". </w:t>
      </w:r>
      <w:r>
        <w:rPr>
          <w:rFonts w:ascii="Arial" w:hAnsi="Arial"/>
          <w:sz w:val="24"/>
        </w:rPr>
        <w:t>Estructura el cierre diario en tres secciones. La Sección A resume el día: fondo de caja inicial (estandarizado en $2,000), ventas por método de pago, salidas de caja, efectivo esperado (calculado automáticamente como fondo inicial más ventas en efectivo menos salidas), efectivo real contado y la diferencia entre ambos. Esta diferencia es el indicador central del módulo: la meta es reducirla del 33.8% de cortes con discrepancias observado en el diagnóstico a menos del 1%. La Sección B detalla las salidas de caja del día (pagos a proveedores, nómina, compras urgentes), cada una con concepto, monto y autorización. La Sección C verifica las ventas con tarjeta comparando la suma de vouchers físicos con el monto registrado como ventas con tarjeta, y una fórmula indica automáticamente si coinciden o requieren revisión.</w:t>
      </w:r>
    </w:p>
    <w:p>
      <w:pPr>
        <w:spacing w:after="160" w:before="240" w:line="240" w:lineRule="auto"/>
      </w:pPr>
      <w:r>
        <w:rPr>
          <w:rFonts w:ascii="Arial" w:hAnsi="Arial"/>
          <w:b/>
          <w:sz w:val="26"/>
        </w:rPr>
        <w:t>Módulo 2. Control de Costos e Inventario</w:t>
      </w:r>
    </w:p>
    <w:p>
      <w:pPr>
        <w:spacing w:after="120" w:before="0" w:line="240" w:lineRule="auto"/>
        <w:jc w:val="both"/>
      </w:pPr>
      <w:r>
        <w:rPr>
          <w:rFonts w:ascii="Arial" w:hAnsi="Arial"/>
          <w:sz w:val="24"/>
        </w:rPr>
        <w:t>Este módulo aborda tres brechas del diagnóstico: H3 (tabla de costos desactualizada desde marzo de 2025 sin inclusión de costos indirectos), H7 (ausencia de control de inventario con al menos dos episodios de desabasto documentados) y la falta de costeo de dos productos incorporados al menú (huitlacoche con elote y chorizo con papa). Se compone de tres hojas.</w:t>
      </w:r>
    </w:p>
    <w:p>
      <w:pPr>
        <w:spacing w:after="120" w:before="0" w:line="240" w:lineRule="auto"/>
        <w:jc w:val="both"/>
      </w:pPr>
      <w:r>
        <w:rPr>
          <w:rFonts w:ascii="Arial" w:hAnsi="Arial"/>
          <w:b/>
          <w:sz w:val="24"/>
        </w:rPr>
        <w:t xml:space="preserve">Hoja "Catálogo Productos". </w:t>
      </w:r>
      <w:r>
        <w:rPr>
          <w:rFonts w:ascii="Arial" w:hAnsi="Arial"/>
          <w:sz w:val="24"/>
        </w:rPr>
        <w:t>Lista los 14 productos activos de Rústico con sus datos de costeo: precio de venta, costo directo (obtenido de la hoja de recetas), costo indirecto asignado y, mediante fórmulas automáticas, costo total, margen bruto en pesos y porcentaje de margen. El costo indirecto se calculó distribuyendo los gastos mensuales de gas LP ($3,100 promedio), electricidad ($2,800 promedio), empaques y depreciación del horno entre el volumen estimado de producción, resultando en aproximadamente $12 por pizza, $3 por pieza de pan y $1 a $2 por bebida. La hoja incluye una nota de alerta para el producto P07 (chorizo con papa), que aparece con costo cero y debe costearse inmediatamente. La columna de fecha de última actualización permite verificar que ningún producto exceda los 90 días sin revisión, atendiendo el ciclo trimestral recomendado en las conclusiones.</w:t>
      </w:r>
    </w:p>
    <w:p>
      <w:pPr>
        <w:spacing w:after="120" w:before="0" w:line="240" w:lineRule="auto"/>
        <w:jc w:val="both"/>
      </w:pPr>
      <w:r>
        <w:rPr>
          <w:rFonts w:ascii="Arial" w:hAnsi="Arial"/>
          <w:b/>
          <w:sz w:val="24"/>
        </w:rPr>
        <w:t xml:space="preserve">Hoja "Recetas (BOM)". </w:t>
      </w:r>
      <w:r>
        <w:rPr>
          <w:rFonts w:ascii="Arial" w:hAnsi="Arial"/>
          <w:sz w:val="24"/>
        </w:rPr>
        <w:t>Contiene la estructura Bill of Materials (lista de materiales) de cada producto: los insumos que lo componen, la cantidad exacta de cada uno por unidad producida, la unidad de medida, el costo unitario del insumo y el costo de ese insumo en el producto (calculado automáticamente). Al final de cada bloque de producto, una fórmula suma el costo directo total. Por ejemplo, la pizza margarita se descompone en 250 gramos de masa madre ($2.25), 200 gramos de queso Oaxaca ($26.00), 100 mililitros de salsa de tomate ($2.50), 10 gramos de albahaca ($0.80) y 15 mililitros de aceite de oliva ($1.80), totalizando un costo directo de $33.35 aproximadamente. Los precios de insumos están actualizados a marzo de 2026: harina a $395 por bulto de 44 kilogramos ($8.98 por kilogramo) y queso Oaxaca a $130 por kilogramo, reflejando los incrementos de 79.5% y 8.3% respectivamente identificados en el diagnóstico.</w:t>
      </w:r>
    </w:p>
    <w:p>
      <w:pPr>
        <w:spacing w:after="120" w:before="0" w:line="240" w:lineRule="auto"/>
        <w:jc w:val="both"/>
      </w:pPr>
      <w:r>
        <w:rPr>
          <w:rFonts w:ascii="Arial" w:hAnsi="Arial"/>
          <w:b/>
          <w:sz w:val="24"/>
        </w:rPr>
        <w:t xml:space="preserve">Hoja "Inventario". </w:t>
      </w:r>
      <w:r>
        <w:rPr>
          <w:rFonts w:ascii="Arial" w:hAnsi="Arial"/>
          <w:sz w:val="24"/>
        </w:rPr>
        <w:t>Se divide en dos secciones. La primera, Stock Actual, lista los 15 insumos principales con existencia actual, stock mínimo, una alerta automática que indica "PEDIR" cuando el stock cae al mínimo o por debajo, precio unitario, valor total en inventario (calculado automáticamente), proveedor principal y fecha de última compra. La segunda sección, Registro de Movimientos, documenta cada entrada (compra), salida (uso en producción), merma por desperdicio y autoconsumo, con un menú desplegable que estandariza el tipo de movimiento. Esta sección es particularmente relevante porque el diagnóstico identificó que las pérdidas por caducidad (especialmente en verduras y champiñones) no se cuantificaban, lo que impedía conocer el costo real del desperdicio.</w:t>
      </w:r>
    </w:p>
    <w:p>
      <w:pPr>
        <w:spacing w:after="160" w:before="240" w:line="240" w:lineRule="auto"/>
      </w:pPr>
      <w:r>
        <w:rPr>
          <w:rFonts w:ascii="Arial" w:hAnsi="Arial"/>
          <w:b/>
          <w:sz w:val="26"/>
        </w:rPr>
        <w:t>Módulo 3. Flujo de Caja y Tesorería</w:t>
      </w:r>
    </w:p>
    <w:p>
      <w:pPr>
        <w:spacing w:after="120" w:before="0" w:line="240" w:lineRule="auto"/>
        <w:jc w:val="both"/>
      </w:pPr>
      <w:r>
        <w:rPr>
          <w:rFonts w:ascii="Arial" w:hAnsi="Arial"/>
          <w:sz w:val="24"/>
        </w:rPr>
        <w:t>Este módulo aborda las brechas H2 (subregistro de gastos del 12.6% y ausencia de categorización), H4 (mezcla de finanzas personales con las del negocio y falta de conciliación bancaria) y la detección de $2,370 en discrepancias no investigadas entre las ventas con tarjeta y los depósitos bancarios. Se compone de tres hojas.</w:t>
      </w:r>
    </w:p>
    <w:p>
      <w:pPr>
        <w:spacing w:after="120" w:before="0" w:line="240" w:lineRule="auto"/>
        <w:jc w:val="both"/>
      </w:pPr>
      <w:r>
        <w:rPr>
          <w:rFonts w:ascii="Arial" w:hAnsi="Arial"/>
          <w:b/>
          <w:sz w:val="24"/>
        </w:rPr>
        <w:t xml:space="preserve">Hoja "Gastos". </w:t>
      </w:r>
      <w:r>
        <w:rPr>
          <w:rFonts w:ascii="Arial" w:hAnsi="Arial"/>
          <w:sz w:val="24"/>
        </w:rPr>
        <w:t>Registra cada egreso del negocio con diez campos: fecha, proveedor (con nombre estandarizado), categoría, descripción, monto, método de pago, tipo de documento de soporte, folio de la nota o factura, persona que registró y observaciones. La categoría opera mediante un menú desplegable con diez opciones fijas: materias primas, renta, servicios, nómina, mantenimiento y reparaciones, gastos administrativos, impuestos y fiscal, gastos de venta, retiro del propietario y otro. Esta estandarización resuelve directamente el problema documentado en el diagnóstico, donde un mismo proveedor aparecía como "Queso", "Cremería Don Pancho" y "Lácteos proveedor" en distintas entradas. La hoja incluye un listado de nombres estandarizados de los proveedores habituales y una regla explícita: los gastos personales de Martín y Mariana no se registran en esta hoja. Solo la categoría "Retiro propietario" es válida para documentar el salario administrativo asignado. Esta regla atiende el hallazgo de $3,840 en gastos personales que aparecían registrados como gastos del negocio.</w:t>
      </w:r>
    </w:p>
    <w:p>
      <w:pPr>
        <w:spacing w:after="120" w:before="0" w:line="240" w:lineRule="auto"/>
        <w:jc w:val="both"/>
      </w:pPr>
      <w:r>
        <w:rPr>
          <w:rFonts w:ascii="Arial" w:hAnsi="Arial"/>
          <w:b/>
          <w:sz w:val="24"/>
        </w:rPr>
        <w:t xml:space="preserve">Hoja "Flujo de Caja". </w:t>
      </w:r>
      <w:r>
        <w:rPr>
          <w:rFonts w:ascii="Arial" w:hAnsi="Arial"/>
          <w:sz w:val="24"/>
        </w:rPr>
        <w:t>Presenta un resumen mensual de ingresos y egresos, organizado por las mismas categorías de la hoja de gastos, con columnas para cada mes y una columna de promedio. La estructura permite visualizar la evolución mes a mes de cada rubro, identificar tendencias y calcular el flujo neto mensual (ingresos menos egresos) y el saldo acumulado. La sección inferior calcula el punto de equilibrio mensual a partir de los costos fijos y el porcentaje de costo variable sobre ventas, proporcionando el monto mínimo de ventas necesario para cubrir todos los gastos. En el diagnóstico, este punto de equilibrio se estimó en $75,200 mensuales, pero nunca había sido calculado formalmente por la empresa.</w:t>
      </w:r>
    </w:p>
    <w:p>
      <w:pPr>
        <w:spacing w:after="120" w:before="0" w:line="240" w:lineRule="auto"/>
        <w:jc w:val="both"/>
      </w:pPr>
      <w:r>
        <w:rPr>
          <w:rFonts w:ascii="Arial" w:hAnsi="Arial"/>
          <w:b/>
          <w:sz w:val="24"/>
        </w:rPr>
        <w:t xml:space="preserve">Hoja "Conciliación Bancaria". </w:t>
      </w:r>
      <w:r>
        <w:rPr>
          <w:rFonts w:ascii="Arial" w:hAnsi="Arial"/>
          <w:sz w:val="24"/>
        </w:rPr>
        <w:t>Permite cruzar semanalmente las ventas con tarjeta registradas en el corte de caja contra los depósitos reales recibidos en la cuenta bancaria del negocio. Para cada día, la hoja calcula automáticamente la comisión estimada de la terminal (3.5%), el depósito neto esperado, la diferencia con el depósito real y un indicador que señala si el registro está conciliado o requiere revisión. Esta herramienta aborda directamente los $2,370 en discrepancias acumuladas durante el periodo de diagnóstico que nunca fueron investigadas. Se recomienda realizar esta conciliación cada viernes.</w:t>
      </w:r>
    </w:p>
    <w:p>
      <w:pPr>
        <w:spacing w:after="160" w:before="240" w:line="240" w:lineRule="auto"/>
      </w:pPr>
      <w:r>
        <w:rPr>
          <w:rFonts w:ascii="Arial" w:hAnsi="Arial"/>
          <w:b/>
          <w:sz w:val="26"/>
        </w:rPr>
        <w:t>Módulo 4. Nómina Simplificada</w:t>
      </w:r>
    </w:p>
    <w:p>
      <w:pPr>
        <w:spacing w:after="120" w:before="0" w:line="240" w:lineRule="auto"/>
        <w:jc w:val="both"/>
      </w:pPr>
      <w:r>
        <w:rPr>
          <w:rFonts w:ascii="Arial" w:hAnsi="Arial"/>
          <w:sz w:val="24"/>
        </w:rPr>
        <w:t>Este módulo aborda la brecha H5: el pago de nómina en efectivo sin recibos formales (solo se encontraron 9 de 12 recibos esperados), sin folios consecutivos y sin documentación de los retiros de los propietarios.</w:t>
      </w:r>
    </w:p>
    <w:p>
      <w:pPr>
        <w:spacing w:after="120" w:before="0" w:line="240" w:lineRule="auto"/>
        <w:jc w:val="both"/>
      </w:pPr>
      <w:r>
        <w:rPr>
          <w:rFonts w:ascii="Arial" w:hAnsi="Arial"/>
          <w:b/>
          <w:sz w:val="24"/>
        </w:rPr>
        <w:t xml:space="preserve">Hoja "Nómina". </w:t>
      </w:r>
      <w:r>
        <w:rPr>
          <w:rFonts w:ascii="Arial" w:hAnsi="Arial"/>
          <w:sz w:val="24"/>
        </w:rPr>
        <w:t>Registra cada pago quincenal con folio consecutivo (formato NOM-AAAA-XX), periodo de pago, nombre del empleado, puesto, salario bruto quincenal, deducciones, neto a pagar (calculado automáticamente), fecha de pago, método de pago y confirmación de firma del recibo. La hoja incorpora un cambio estructural importante respecto a la práctica actual: Martín y Mariana aparecen con un salario administrativo fijo de $5,000 quincenales cada uno, separado de los retiros discrecionales que actualmente realizan sin documentación. Cualquier retiro adicional debe registrarse en la hoja de gastos bajo la categoría "Retiro propietario", no como nómina. Esta distinción es esencial para conocer la utilidad real del negocio, ya que en el diagnóstico los retiros de los propietarios no se diferenciaban de los gastos operativos, distorsionando cualquier cálculo de rentabilidad. La nómina quincenal total asciende a $17,500 ($3,750 para Luis Ángel, $3,750 para Sofía, $5,000 para Martín y $5,000 para Mariana), lo que representa $35,000 mensuales.</w:t>
      </w:r>
    </w:p>
    <w:p>
      <w:pPr>
        <w:spacing w:after="160" w:before="240" w:line="240" w:lineRule="auto"/>
      </w:pPr>
      <w:r>
        <w:rPr>
          <w:rFonts w:ascii="Arial" w:hAnsi="Arial"/>
          <w:b/>
          <w:sz w:val="26"/>
        </w:rPr>
        <w:t>Módulo 5. Reportes e Indicadores</w:t>
      </w:r>
    </w:p>
    <w:p>
      <w:pPr>
        <w:spacing w:after="120" w:before="0" w:line="240" w:lineRule="auto"/>
        <w:jc w:val="both"/>
      </w:pPr>
      <w:r>
        <w:rPr>
          <w:rFonts w:ascii="Arial" w:hAnsi="Arial"/>
          <w:sz w:val="24"/>
        </w:rPr>
        <w:t>Este módulo aborda la brecha H6: la inexistencia total de reportes financieros, que resultaba en decisiones basadas exclusivamente en la intuición y la experiencia del propietario.</w:t>
      </w:r>
    </w:p>
    <w:p>
      <w:pPr>
        <w:spacing w:after="120" w:before="0" w:line="240" w:lineRule="auto"/>
        <w:jc w:val="both"/>
      </w:pPr>
      <w:r>
        <w:rPr>
          <w:rFonts w:ascii="Arial" w:hAnsi="Arial"/>
          <w:b/>
          <w:sz w:val="24"/>
        </w:rPr>
        <w:t xml:space="preserve">Hoja "Dashboard". </w:t>
      </w:r>
      <w:r>
        <w:rPr>
          <w:rFonts w:ascii="Arial" w:hAnsi="Arial"/>
          <w:sz w:val="24"/>
        </w:rPr>
        <w:t>Concentra 15 indicadores clave de desempeño con sus metas y valores mensuales. Los indicadores se organizan en cuatro dimensiones: financieros (ventas totales, costo de materias primas como porcentaje de ventas, margen bruto, utilidad neta, punto de equilibrio), operativos (ticket promedio, rotación de inventario), de calidad de la información (porcentaje de integridad en el registro de ventas, porcentaje de cortes sin discrepancia, porcentaje de gastos registrados versus notas de proveedor, completitud de recibos de nómina, días sin registro) y de resiliencia (fondo de emergencia acumulado). Cada indicador incluye una meta derivada del diagnóstico y de la literatura revisada. La hoja también presenta la línea base obtenida durante el diagnóstico, lo que permite medir la evolución desde el punto de partida: ventas promedio de $96,000 mensuales, integridad de registro del 91%, solo 66.2% de cortes sin discrepancia, 87.4% de gastos registrados, 75% de recibos de nómina completos, tabla de costos desactualizada, cero reportes financieros y cero fondo de emergencia.</w:t>
      </w:r>
    </w:p>
    <w:p>
      <w:pPr>
        <w:spacing w:after="160" w:before="240" w:line="240" w:lineRule="auto"/>
      </w:pPr>
      <w:r>
        <w:rPr>
          <w:rFonts w:ascii="Arial" w:hAnsi="Arial"/>
          <w:b/>
          <w:sz w:val="26"/>
        </w:rPr>
        <w:t>Plan de implementación por fases</w:t>
      </w:r>
    </w:p>
    <w:p>
      <w:pPr>
        <w:spacing w:after="120" w:before="0" w:line="240" w:lineRule="auto"/>
        <w:jc w:val="both"/>
      </w:pPr>
      <w:r>
        <w:rPr>
          <w:rFonts w:ascii="Arial" w:hAnsi="Arial"/>
          <w:sz w:val="24"/>
        </w:rPr>
        <w:t>El sistema está diseñado para implementarse de manera progresiva en cuatro fases durante un periodo de 14 semanas, precedidas por un prerrequisito indispensable: la apertura de una cuenta bancaria exclusiva para el negocio.</w:t>
      </w:r>
    </w:p>
    <w:p>
      <w:pPr>
        <w:spacing w:after="120" w:before="0" w:line="240" w:lineRule="auto"/>
        <w:jc w:val="both"/>
      </w:pPr>
      <w:r>
        <w:rPr>
          <w:rFonts w:ascii="Arial" w:hAnsi="Arial"/>
          <w:b/>
          <w:sz w:val="24"/>
        </w:rPr>
        <w:t xml:space="preserve">Prerrequisito (semanas 0 a 1). </w:t>
      </w:r>
      <w:r>
        <w:rPr>
          <w:rFonts w:ascii="Arial" w:hAnsi="Arial"/>
          <w:sz w:val="24"/>
        </w:rPr>
        <w:t>Apertura de cuenta bancaria empresarial. Redirigir los depósitos del terminal de cobro con tarjeta a la nueva cuenta. A partir de este momento, todos los ingresos y gastos del negocio se canalizan por esta cuenta, y la cuenta personal de Martín deja de funcionar como cuenta del negocio.</w:t>
      </w:r>
    </w:p>
    <w:p>
      <w:pPr>
        <w:spacing w:after="120" w:before="0" w:line="240" w:lineRule="auto"/>
        <w:jc w:val="both"/>
      </w:pPr>
      <w:r>
        <w:rPr>
          <w:rFonts w:ascii="Arial" w:hAnsi="Arial"/>
          <w:b/>
          <w:sz w:val="24"/>
        </w:rPr>
        <w:t xml:space="preserve">Fase 1: Punto de Venta (semanas 1 a 4). </w:t>
      </w:r>
      <w:r>
        <w:rPr>
          <w:rFonts w:ascii="Arial" w:hAnsi="Arial"/>
          <w:sz w:val="24"/>
        </w:rPr>
        <w:t>Se activan las hojas "Registro de Ventas" y "Corte de Caja". Se capacita a Sofía en el registro de cada transacción y se establece el protocolo de cierre diario. Se mantiene en paralelo el cuaderno actual de Sofía durante las primeras cuatro semanas para verificar la consistencia.</w:t>
      </w:r>
    </w:p>
    <w:p>
      <w:pPr>
        <w:spacing w:after="120" w:before="0" w:line="240" w:lineRule="auto"/>
        <w:jc w:val="both"/>
      </w:pPr>
      <w:r>
        <w:rPr>
          <w:rFonts w:ascii="Arial" w:hAnsi="Arial"/>
          <w:b/>
          <w:sz w:val="24"/>
        </w:rPr>
        <w:t xml:space="preserve">Fase 2: Flujo de Caja (semanas 5 a 7). </w:t>
      </w:r>
      <w:r>
        <w:rPr>
          <w:rFonts w:ascii="Arial" w:hAnsi="Arial"/>
          <w:sz w:val="24"/>
        </w:rPr>
        <w:t>Se activan las hojas "Gastos", "Flujo de Caja" y "Conciliación Bancaria". Se capacita a Mariana en el uso del catálogo de categorías y los nombres estandarizados de proveedores. Se establece la sesión semanal de revisión de gastos entre Martín y Mariana (30 minutos los viernes) y la conciliación bancaria semanal.</w:t>
      </w:r>
    </w:p>
    <w:p>
      <w:pPr>
        <w:spacing w:after="120" w:before="0" w:line="240" w:lineRule="auto"/>
        <w:jc w:val="both"/>
      </w:pPr>
      <w:r>
        <w:rPr>
          <w:rFonts w:ascii="Arial" w:hAnsi="Arial"/>
          <w:b/>
          <w:sz w:val="24"/>
        </w:rPr>
        <w:t xml:space="preserve">Fase 3: Costos e Inventario (semanas 8 a 11). </w:t>
      </w:r>
      <w:r>
        <w:rPr>
          <w:rFonts w:ascii="Arial" w:hAnsi="Arial"/>
          <w:sz w:val="24"/>
        </w:rPr>
        <w:t>Se activan las hojas "Catálogo Productos", "Recetas (BOM)" e "Inventario". Se actualizan los costos de los 14 productos activos, se costea el producto pendiente (chorizo con papa), se incorporan los costos indirectos y se establecen los stocks mínimos para los 15 insumos principales. Se inicia el registro diario de movimientos de inventario.</w:t>
      </w:r>
    </w:p>
    <w:p>
      <w:pPr>
        <w:spacing w:after="120" w:before="0" w:line="240" w:lineRule="auto"/>
        <w:jc w:val="both"/>
      </w:pPr>
      <w:r>
        <w:rPr>
          <w:rFonts w:ascii="Arial" w:hAnsi="Arial"/>
          <w:b/>
          <w:sz w:val="24"/>
        </w:rPr>
        <w:t xml:space="preserve">Fase 4: Nómina y Reportes (semanas 12 a 14). </w:t>
      </w:r>
      <w:r>
        <w:rPr>
          <w:rFonts w:ascii="Arial" w:hAnsi="Arial"/>
          <w:sz w:val="24"/>
        </w:rPr>
        <w:t>Se activan las hojas "Nómina" y "Dashboard". Se formalizan los recibos de nómina con folio consecutivo, se asigna el salario administrativo de los propietarios y se genera el primer reporte mensual de indicadores. Al finalizar esta fase, el sistema opera en su totalidad.</w:t>
      </w:r>
    </w:p>
    <w:p>
      <w:pPr>
        <w:spacing w:after="160" w:before="240" w:line="240" w:lineRule="auto"/>
      </w:pPr>
      <w:r>
        <w:rPr>
          <w:rFonts w:ascii="Arial" w:hAnsi="Arial"/>
          <w:b/>
          <w:sz w:val="26"/>
        </w:rPr>
        <w:t>Asignación de responsabilidades</w:t>
      </w:r>
    </w:p>
    <w:p>
      <w:pPr>
        <w:spacing w:after="120" w:before="0" w:line="240" w:lineRule="auto"/>
        <w:jc w:val="both"/>
      </w:pPr>
      <w:r>
        <w:rPr>
          <w:rFonts w:ascii="Arial" w:hAnsi="Arial"/>
          <w:sz w:val="24"/>
        </w:rPr>
        <w:t>El sistema distribuye las responsabilidades de captura entre los cuatro integrantes del equipo de acuerdo con sus funciones actuales.</w:t>
      </w:r>
    </w:p>
    <w:p>
      <w:pPr>
        <w:spacing w:after="120" w:before="0" w:line="240" w:lineRule="auto"/>
        <w:jc w:val="both"/>
      </w:pPr>
      <w:r>
        <w:rPr>
          <w:rFonts w:ascii="Arial" w:hAnsi="Arial"/>
          <w:b/>
          <w:sz w:val="24"/>
        </w:rPr>
        <w:t xml:space="preserve">Sofía Valadés (nivel de capacitación requerido: alto). </w:t>
      </w:r>
      <w:r>
        <w:rPr>
          <w:rFonts w:ascii="Arial" w:hAnsi="Arial"/>
          <w:sz w:val="24"/>
        </w:rPr>
        <w:t>Responsable principal de la hoja "Registro de Ventas" durante todo el turno y del conteo físico de efectivo en el corte de caja.</w:t>
      </w:r>
    </w:p>
    <w:p>
      <w:pPr>
        <w:spacing w:after="120" w:before="0" w:line="240" w:lineRule="auto"/>
        <w:jc w:val="both"/>
      </w:pPr>
      <w:r>
        <w:rPr>
          <w:rFonts w:ascii="Arial" w:hAnsi="Arial"/>
          <w:b/>
          <w:sz w:val="24"/>
        </w:rPr>
        <w:t xml:space="preserve">Mariana Torres (nivel de capacitación requerido: alto). </w:t>
      </w:r>
      <w:r>
        <w:rPr>
          <w:rFonts w:ascii="Arial" w:hAnsi="Arial"/>
          <w:sz w:val="24"/>
        </w:rPr>
        <w:t>Responsable de las hojas "Gastos", "Conciliación Bancaria" y "Nómina". Supervisa el flujo de caja mensual y alimenta el Dashboard con los datos consolidados.</w:t>
      </w:r>
    </w:p>
    <w:p>
      <w:pPr>
        <w:spacing w:after="120" w:before="0" w:line="240" w:lineRule="auto"/>
        <w:jc w:val="both"/>
      </w:pPr>
      <w:r>
        <w:rPr>
          <w:rFonts w:ascii="Arial" w:hAnsi="Arial"/>
          <w:b/>
          <w:sz w:val="24"/>
        </w:rPr>
        <w:t xml:space="preserve">Martín Valadés (nivel de capacitación requerido: alto). </w:t>
      </w:r>
      <w:r>
        <w:rPr>
          <w:rFonts w:ascii="Arial" w:hAnsi="Arial"/>
          <w:sz w:val="24"/>
        </w:rPr>
        <w:t>Responsable de las hojas "Catálogo Productos", "Recetas (BOM)" y "Dashboard". Autoriza las salidas de caja, supervisa el corte diario y toma las decisiones estratégicas basadas en los indicadores del Dashboard.</w:t>
      </w:r>
    </w:p>
    <w:p>
      <w:pPr>
        <w:spacing w:after="120" w:before="0" w:line="240" w:lineRule="auto"/>
        <w:jc w:val="both"/>
      </w:pPr>
      <w:r>
        <w:rPr>
          <w:rFonts w:ascii="Arial" w:hAnsi="Arial"/>
          <w:b/>
          <w:sz w:val="24"/>
        </w:rPr>
        <w:t xml:space="preserve">Luis Ángel (nivel de capacitación requerido: bajo). </w:t>
      </w:r>
      <w:r>
        <w:rPr>
          <w:rFonts w:ascii="Arial" w:hAnsi="Arial"/>
          <w:sz w:val="24"/>
        </w:rPr>
        <w:t>Participa en la recepción y verificación de mercancía de proveedores, confirmando cantidades contra notas de proveedor para alimentar la hoja de "Inventario".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Arial" w:hAnsi="Arial"/>
      <w:sz w:val="24"/>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