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Trazabilidad de Citas - Version Shorter</w:t>
      </w:r>
    </w:p>
    <w:p>
      <w:r>
        <w:t>Total de citas rastreadas: 50</w:t>
      </w:r>
    </w:p>
    <w:p>
      <w:r>
        <w:t>Cada fila muestra donde se usa una cita en la tesis y el fragmento mas similar de la fuente original, recuperado mediante busqueda semantica en ChromaDB.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Ubicacion</w:t>
            </w:r>
          </w:p>
        </w:tc>
        <w:tc>
          <w:tcPr>
            <w:tcW w:type="dxa" w:w="2160"/>
          </w:tcPr>
          <w:p>
            <w:r>
              <w:rPr>
                <w:b/>
              </w:rPr>
              <w:t>Parrafo en tesis</w:t>
            </w:r>
          </w:p>
        </w:tc>
        <w:tc>
          <w:tcPr>
            <w:tcW w:type="dxa" w:w="2160"/>
          </w:tcPr>
          <w:p>
            <w:r>
              <w:rPr>
                <w:b/>
              </w:rPr>
              <w:t>Fragmento fuente</w:t>
            </w:r>
          </w:p>
        </w:tc>
        <w:tc>
          <w:tcPr>
            <w:tcW w:type="dxa" w:w="2160"/>
          </w:tcPr>
          <w:p>
            <w:r>
              <w:rPr>
                <w:b/>
              </w:rPr>
              <w:t>Dist.</w:t>
            </w:r>
          </w:p>
        </w:tc>
      </w:tr>
      <w:tr>
        <w:tc>
          <w:tcPr>
            <w:tcW w:type="dxa" w:w="2160"/>
          </w:tcPr>
          <w:p>
            <w:r>
              <w:t>Cap01:L7</w:t>
              <w:br/>
              <w:t>unesco2023genai</w:t>
            </w:r>
          </w:p>
        </w:tc>
        <w:tc>
          <w:tcPr>
            <w:tcW w:type="dxa" w:w="2160"/>
          </w:tcPr>
          <w:p>
            <w:r>
              <w:t>En 2017, China publicó el primer plan nacional que vinculó la inteligencia artificial con la reforma educativa. Para 2023, al menos 67 países habían desarrollado o estaban desarrollando estrategias nacionales de IA . En la mayoría de ellas, sin embar</w:t>
            </w:r>
          </w:p>
        </w:tc>
        <w:tc>
          <w:tcPr>
            <w:tcW w:type="dxa" w:w="2160"/>
          </w:tcPr>
          <w:p>
            <w:r>
              <w:t>sus affirms that the use of AI technologies in education should enhance human capacities for sustainable development and effective human-machine collaboration in life, learning and work. It also calls for further actions to ensure equitable access to AI to support marginalized people and address ine...</w:t>
            </w:r>
          </w:p>
        </w:tc>
        <w:tc>
          <w:tcPr>
            <w:tcW w:type="dxa" w:w="2160"/>
          </w:tcPr>
          <w:p>
            <w:r>
              <w:t>0.252</w:t>
            </w:r>
          </w:p>
        </w:tc>
      </w:tr>
      <w:tr>
        <w:tc>
          <w:tcPr>
            <w:tcW w:type="dxa" w:w="2160"/>
          </w:tcPr>
          <w:p>
            <w:r>
              <w:t>Cap01:L9</w:t>
              <w:br/>
              <w:t>thierer2018pacing</w:t>
            </w:r>
          </w:p>
        </w:tc>
        <w:tc>
          <w:tcPr>
            <w:tcW w:type="dxa" w:w="2160"/>
          </w:tcPr>
          <w:p>
            <w:r>
              <w:t>describió esta situación como el pacing problem: la tecnología evoluciona de forma exponencial mientras que la regulación avanza de manera lineal. En el caso de la IA en educación, la brecha es particularmente aguda. Hacia 2022, solo unos 15 países h</w:t>
            </w:r>
          </w:p>
        </w:tc>
        <w:tc>
          <w:tcPr>
            <w:tcW w:type="dxa" w:w="2160"/>
          </w:tcPr>
          <w:p>
            <w:r>
              <w:t>l-and-regulations-impact-future-of-telehealth- sector-in-nc-161209/ [https://perma.cc/TZF2-KP3Z]. 102 COLO. TECH. L.J. [Vol. 17.1 process unpredictable and, in the worst case, incapable of being financed.”395 Technologies like AVs benefit from an increase in certainty for innovators, investors, and ...</w:t>
            </w:r>
          </w:p>
        </w:tc>
        <w:tc>
          <w:tcPr>
            <w:tcW w:type="dxa" w:w="2160"/>
          </w:tcPr>
          <w:p>
            <w:r>
              <w:t>0.359</w:t>
            </w:r>
          </w:p>
        </w:tc>
      </w:tr>
      <w:tr>
        <w:tc>
          <w:tcPr>
            <w:tcW w:type="dxa" w:w="2160"/>
          </w:tcPr>
          <w:p>
            <w:r>
              <w:t>Cap01:L9</w:t>
              <w:br/>
              <w:t>miao2021guidance</w:t>
            </w:r>
          </w:p>
        </w:tc>
        <w:tc>
          <w:tcPr>
            <w:tcW w:type="dxa" w:w="2160"/>
          </w:tcPr>
          <w:p>
            <w:r>
              <w:t>describió esta situación como el pacing problem: la tecnología evoluciona de forma exponencial mientras que la regulación avanza de manera lineal. En el caso de la IA en educación, la brecha es particularmente aguda. Hacia 2022, solo unos 15 países h</w:t>
            </w:r>
          </w:p>
        </w:tc>
        <w:tc>
          <w:tcPr>
            <w:tcW w:type="dxa" w:w="2160"/>
          </w:tcPr>
          <w:p>
            <w:r>
              <w:t>t effective policy intervention, the deployment of AI in education is likely to mirror this inexorable process, inevitably magnifying rather than ameliorating existing learning inequalities. Opportunities for AI to advance inclusion and equity in education In addition to focusing on equitable access...</w:t>
            </w:r>
          </w:p>
        </w:tc>
        <w:tc>
          <w:tcPr>
            <w:tcW w:type="dxa" w:w="2160"/>
          </w:tcPr>
          <w:p>
            <w:r>
              <w:t>0.289</w:t>
            </w:r>
          </w:p>
        </w:tc>
      </w:tr>
      <w:tr>
        <w:tc>
          <w:tcPr>
            <w:tcW w:type="dxa" w:w="2160"/>
          </w:tcPr>
          <w:p>
            <w:r>
              <w:t>Cap01:L15</w:t>
              <w:br/>
              <w:t>steinerkhamsi2014cross</w:t>
            </w:r>
          </w:p>
        </w:tc>
        <w:tc>
          <w:tcPr>
            <w:tcW w:type="dxa" w:w="2160"/>
          </w:tcPr>
          <w:p>
            <w:r>
              <w:t>Cuando documentos de política de diferentes países utilizan vocabulario similar, surge una pregunta que la lectura individual no puede resolver: ¿la similitud refleja convergencia temática genuina, influencia compartida de un tercer actor, o converge</w:t>
            </w:r>
          </w:p>
        </w:tc>
        <w:tc>
          <w:tcPr>
            <w:tcW w:type="dxa" w:w="2160"/>
          </w:tcPr>
          <w:p>
            <w:r>
              <w:t>e to further reﬁne the Three-Streams Theory in ways that suits today’s reality of cross-national policy interaction and borrowing. Indeed, the study of policy borrowing lends itself as a fertile ground to better understand power constellations and protracted policy conﬂict in a given context. The an...</w:t>
            </w:r>
          </w:p>
        </w:tc>
        <w:tc>
          <w:tcPr>
            <w:tcW w:type="dxa" w:w="2160"/>
          </w:tcPr>
          <w:p>
            <w:r>
              <w:t>0.360</w:t>
            </w:r>
          </w:p>
        </w:tc>
      </w:tr>
      <w:tr>
        <w:tc>
          <w:tcPr>
            <w:tcW w:type="dxa" w:w="2160"/>
          </w:tcPr>
          <w:p>
            <w:r>
              <w:t>Cap01:L17</w:t>
              <w:br/>
              <w:t>grimmer2013text</w:t>
            </w:r>
          </w:p>
        </w:tc>
        <w:tc>
          <w:tcPr>
            <w:tcW w:type="dxa" w:w="2160"/>
          </w:tcPr>
          <w:p>
            <w:r>
              <w:t>La ciencia política comenzó a tratar los textos como datos cuantificables a principios de la década de 2010 . Desde entonces, se han aplicado representaciones semánticas para medir alineación entre documentos de política. La educación comparada no ha</w:t>
            </w:r>
          </w:p>
        </w:tc>
        <w:tc>
          <w:tcPr>
            <w:tcW w:type="dxa" w:w="2160"/>
          </w:tcPr>
          <w:p>
            <w:r>
              <w:t>thods that facilitate substantively important inferences about politics from large text collections. We provide a guide to this exciting area of research, identify common misconceptions and errors, and oﬀer guidelines on how to use text methods for social scientiﬁc research. We emphasize that the co...</w:t>
            </w:r>
          </w:p>
        </w:tc>
        <w:tc>
          <w:tcPr>
            <w:tcW w:type="dxa" w:w="2160"/>
          </w:tcPr>
          <w:p>
            <w:r>
              <w:t>0.251</w:t>
            </w:r>
          </w:p>
        </w:tc>
      </w:tr>
      <w:tr>
        <w:tc>
          <w:tcPr>
            <w:tcW w:type="dxa" w:w="2160"/>
          </w:tcPr>
          <w:p>
            <w:r>
              <w:t>Cap01:L29</w:t>
              <w:br/>
              <w:t>unesco2019beijing</w:t>
            </w:r>
          </w:p>
        </w:tc>
        <w:tc>
          <w:tcPr>
            <w:tcW w:type="dxa" w:w="2160"/>
          </w:tcPr>
          <w:p>
            <w:r>
              <w:t>De esta pregunta se derivan cuatro preguntas asociadas. Interesa saber qué agrupamientos temáticos emergen cuando se analizan los documentos de los siete países mediante procesamiento de lenguaje natural. También se pregunta qué temas latentes aparec</w:t>
            </w:r>
          </w:p>
        </w:tc>
        <w:tc>
          <w:tcPr>
            <w:tcW w:type="dxa" w:w="2160"/>
          </w:tcPr>
          <w:p>
            <w:r>
              <w:t>y errors or omission found subsequent to printing will be corrected in the online version at https://unesdoc.unesco.org/ark:/48223/pf0000368303 3 Preamble 1. We, the participants of the International Conference on Artificial Intelligence (AI) and Education, including 50 government ministers and vice...</w:t>
            </w:r>
          </w:p>
        </w:tc>
        <w:tc>
          <w:tcPr>
            <w:tcW w:type="dxa" w:w="2160"/>
          </w:tcPr>
          <w:p>
            <w:r>
              <w:t>0.432</w:t>
            </w:r>
          </w:p>
        </w:tc>
      </w:tr>
      <w:tr>
        <w:tc>
          <w:tcPr>
            <w:tcW w:type="dxa" w:w="2160"/>
          </w:tcPr>
          <w:p>
            <w:r>
              <w:t>Cap01:L36</w:t>
              <w:br/>
              <w:t>nelson2020computational</w:t>
            </w:r>
          </w:p>
        </w:tc>
        <w:tc>
          <w:tcPr>
            <w:tcW w:type="dxa" w:w="2160"/>
          </w:tcPr>
          <w:p>
            <w:r>
              <w:t>Los objetivos específicos se organizan en torno a la secuencia analítica. Se parte de la construcción de un corpus documental sistematizado de los siete países, que incluye siete documentos longitudinales de China. Sobre este corpus se identifican pr</w:t>
            </w:r>
          </w:p>
        </w:tc>
        <w:tc>
          <w:tcPr>
            <w:tcW w:type="dxa" w:w="2160"/>
          </w:tcPr>
          <w:p>
            <w:r>
              <w:t>t” way to group the corpus, particularly when researchers are asking different questions of the same cor- pus. There is at present no objective way to determine the single best model for a text, and the “objective” methods that have been proposed are often not the most substantively helpful (Blei 20...</w:t>
            </w:r>
          </w:p>
        </w:tc>
        <w:tc>
          <w:tcPr>
            <w:tcW w:type="dxa" w:w="2160"/>
          </w:tcPr>
          <w:p>
            <w:r>
              <w:t>0.415</w:t>
            </w:r>
          </w:p>
        </w:tc>
      </w:tr>
      <w:tr>
        <w:tc>
          <w:tcPr>
            <w:tcW w:type="dxa" w:w="2160"/>
          </w:tcPr>
          <w:p>
            <w:r>
              <w:t>Cap01:L36</w:t>
              <w:br/>
              <w:t>oecd2021epo</w:t>
            </w:r>
          </w:p>
        </w:tc>
        <w:tc>
          <w:tcPr>
            <w:tcW w:type="dxa" w:w="2160"/>
          </w:tcPr>
          <w:p>
            <w:r>
              <w:t>Los objetivos específicos se organizan en torno a la secuencia analítica. Se parte de la construcción de un corpus documental sistematizado de los siete países, que incluye siete documentos longitudinales de China. Sobre este corpus se identifican pr</w:t>
            </w:r>
          </w:p>
        </w:tc>
        <w:tc>
          <w:tcPr>
            <w:tcW w:type="dxa" w:w="2160"/>
          </w:tcPr>
          <w:p>
            <w:r>
              <w:t>019 [34]). Given the important role that formative assessment has played in several countries and economies’ efforts to address the learning gaps that opened up in the early stages of the pandemic, it will be all the more important to ensure teachers can interpret assessment data and take action acc...</w:t>
            </w:r>
          </w:p>
        </w:tc>
        <w:tc>
          <w:tcPr>
            <w:tcW w:type="dxa" w:w="2160"/>
          </w:tcPr>
          <w:p>
            <w:r>
              <w:t>0.493</w:t>
            </w:r>
          </w:p>
        </w:tc>
      </w:tr>
      <w:tr>
        <w:tc>
          <w:tcPr>
            <w:tcW w:type="dxa" w:w="2160"/>
          </w:tcPr>
          <w:p>
            <w:r>
              <w:t>Cap01:L36</w:t>
              <w:br/>
              <w:t>unesco2019beijing</w:t>
            </w:r>
          </w:p>
        </w:tc>
        <w:tc>
          <w:tcPr>
            <w:tcW w:type="dxa" w:w="2160"/>
          </w:tcPr>
          <w:p>
            <w:r>
              <w:t>Los objetivos específicos se organizan en torno a la secuencia analítica. Se parte de la construcción de un corpus documental sistematizado de los siete países, que incluye siete documentos longitudinales de China. Sobre este corpus se identifican pr</w:t>
            </w:r>
          </w:p>
        </w:tc>
        <w:tc>
          <w:tcPr>
            <w:tcW w:type="dxa" w:w="2160"/>
          </w:tcPr>
          <w:p>
            <w:r>
              <w:t>y errors or omission found subsequent to printing will be corrected in the online version at https://unesdoc.unesco.org/ark:/48223/pf0000368303 3 Preamble 1. We, the participants of the International Conference on Artificial Intelligence (AI) and Education, including 50 government ministers and vice...</w:t>
            </w:r>
          </w:p>
        </w:tc>
        <w:tc>
          <w:tcPr>
            <w:tcW w:type="dxa" w:w="2160"/>
          </w:tcPr>
          <w:p>
            <w:r>
              <w:t>0.518</w:t>
            </w:r>
          </w:p>
        </w:tc>
      </w:tr>
      <w:tr>
        <w:tc>
          <w:tcPr>
            <w:tcW w:type="dxa" w:w="2160"/>
          </w:tcPr>
          <w:p>
            <w:r>
              <w:t>Cap01:L41</w:t>
              <w:br/>
              <w:t>milosevic2020methodology</w:t>
            </w:r>
          </w:p>
        </w:tc>
        <w:tc>
          <w:tcPr>
            <w:tcW w:type="dxa" w:w="2160"/>
          </w:tcPr>
          <w:p>
            <w:r>
              <w:t xml:space="preserve">Esta investigación ofrece un análisis exploratorio de las políticas de educación en IA de siete países. La educación comparada tiene una larga tradición de análisis mediante similitudes y diferencias , y las herramientas de procesamiento de lenguaje </w:t>
            </w:r>
          </w:p>
        </w:tc>
        <w:tc>
          <w:tcPr>
            <w:tcW w:type="dxa" w:w="2160"/>
          </w:tcPr>
          <w:p>
            <w:r>
              <w:t>ers when it comes to the comparative research of education systems. An adequate analysis and understanding of the education system of any country, as well as other systems (social, political, cultural, etc.), is almost impossible without comparison. That is why comparative research is a necessary in...</w:t>
            </w:r>
          </w:p>
        </w:tc>
        <w:tc>
          <w:tcPr>
            <w:tcW w:type="dxa" w:w="2160"/>
          </w:tcPr>
          <w:p>
            <w:r>
              <w:t>0.386</w:t>
            </w:r>
          </w:p>
        </w:tc>
      </w:tr>
      <w:tr>
        <w:tc>
          <w:tcPr>
            <w:tcW w:type="dxa" w:w="2160"/>
          </w:tcPr>
          <w:p>
            <w:r>
              <w:t>Cap01:L43</w:t>
              <w:br/>
              <w:t>shipan2012diffusion</w:t>
            </w:r>
          </w:p>
        </w:tc>
        <w:tc>
          <w:tcPr>
            <w:tcW w:type="dxa" w:w="2160"/>
          </w:tcPr>
          <w:p>
            <w:r>
              <w:t>Los siete países representan enfoques diversos ante un desafío compartido, lo que hace potencialmente observables los mecanismos de difusión descritos por  mediante el trazado de pasajes compartidos entre documentos.</w:t>
            </w:r>
          </w:p>
        </w:tc>
        <w:tc>
          <w:tcPr>
            <w:tcW w:type="dxa" w:w="2160"/>
          </w:tcPr>
          <w:p>
            <w:r>
              <w:t>far aﬁ eld from the geographic clustering of policies. Th e best and most relevant experiments may be across the country or halfway around the world. Moreover, what is learned may have more to do with political opportunity than with policy eﬀ ectiveness. Policies are complex, and the goals of policy...</w:t>
            </w:r>
          </w:p>
        </w:tc>
        <w:tc>
          <w:tcPr>
            <w:tcW w:type="dxa" w:w="2160"/>
          </w:tcPr>
          <w:p>
            <w:r>
              <w:t>0.533</w:t>
            </w:r>
          </w:p>
        </w:tc>
      </w:tr>
      <w:tr>
        <w:tc>
          <w:tcPr>
            <w:tcW w:type="dxa" w:w="2160"/>
          </w:tcPr>
          <w:p>
            <w:r>
              <w:t>Cap01:L50</w:t>
              <w:br/>
              <w:t>rizvi2010globalizing</w:t>
            </w:r>
          </w:p>
        </w:tc>
        <w:tc>
          <w:tcPr>
            <w:tcW w:type="dxa" w:w="2160"/>
          </w:tcPr>
          <w:p>
            <w:r>
              <w:t>El alcance de este estudio exploratorio se limita a los documentos de política de acceso público de los siete países seleccionados, publicados entre 2017 y 2025 en inglés, español, alemán y chino. La investigación examina el contenido de los document</w:t>
            </w:r>
          </w:p>
        </w:tc>
        <w:tc>
          <w:tcPr>
            <w:tcW w:type="dxa" w:w="2160"/>
          </w:tcPr>
          <w:p>
            <w:r>
              <w:t>[NO MATCH IN CHROMA]</w:t>
            </w:r>
          </w:p>
        </w:tc>
        <w:tc>
          <w:tcPr>
            <w:tcW w:type="dxa" w:w="2160"/>
          </w:tcPr>
          <w:p>
            <w:r>
              <w:t>N/A</w:t>
            </w:r>
          </w:p>
        </w:tc>
      </w:tr>
      <w:tr>
        <w:tc>
          <w:tcPr>
            <w:tcW w:type="dxa" w:w="2160"/>
          </w:tcPr>
          <w:p>
            <w:r>
              <w:t>Cap01:L52</w:t>
              <w:br/>
              <w:t>howlett2003studying</w:t>
            </w:r>
          </w:p>
        </w:tc>
        <w:tc>
          <w:tcPr>
            <w:tcW w:type="dxa" w:w="2160"/>
          </w:tcPr>
          <w:p>
            <w:r>
              <w:t>Las limitaciones principales tienen que ver con la heterogeneidad del corpus: los documentos varían en género discursivo, estatus legal y etapa dentro del ciclo de políticas . El control lingüístico atenúa pero no elimina el sesgo idiomático, y los d</w:t>
            </w:r>
          </w:p>
        </w:tc>
        <w:tc>
          <w:tcPr>
            <w:tcW w:type="dxa" w:w="2160"/>
          </w:tcPr>
          <w:p>
            <w:r>
              <w:t>[NO MATCH IN CHROMA]</w:t>
            </w:r>
          </w:p>
        </w:tc>
        <w:tc>
          <w:tcPr>
            <w:tcW w:type="dxa" w:w="2160"/>
          </w:tcPr>
          <w:p>
            <w:r>
              <w:t>N/A</w:t>
            </w:r>
          </w:p>
        </w:tc>
      </w:tr>
      <w:tr>
        <w:tc>
          <w:tcPr>
            <w:tcW w:type="dxa" w:w="2160"/>
          </w:tcPr>
          <w:p>
            <w:r>
              <w:t>Cap01:L57</w:t>
              <w:br/>
              <w:t>mexia2025centro</w:t>
            </w:r>
          </w:p>
        </w:tc>
        <w:tc>
          <w:tcPr>
            <w:tcW w:type="dxa" w:w="2160"/>
          </w:tcPr>
          <w:p>
            <w:r>
              <w:t>México carece de un marco integral de IA en educación. Las iniciativas existentes, como el Centro Público de Formación en IA  y las líneas de acción de la SEP para IA generativa , constituyen pasos iniciales pero no una política articulada. Comprende</w:t>
            </w:r>
          </w:p>
        </w:tc>
        <w:tc>
          <w:tcPr>
            <w:tcW w:type="dxa" w:w="2160"/>
          </w:tcPr>
          <w:p>
            <w:r>
              <w:t>[NO MATCH IN CHROMA]</w:t>
            </w:r>
          </w:p>
        </w:tc>
        <w:tc>
          <w:tcPr>
            <w:tcW w:type="dxa" w:w="2160"/>
          </w:tcPr>
          <w:p>
            <w:r>
              <w:t>N/A</w:t>
            </w:r>
          </w:p>
        </w:tc>
      </w:tr>
      <w:tr>
        <w:tc>
          <w:tcPr>
            <w:tcW w:type="dxa" w:w="2160"/>
          </w:tcPr>
          <w:p>
            <w:r>
              <w:t>Cap01:L57</w:t>
              <w:br/>
              <w:t>sep2026ia</w:t>
            </w:r>
          </w:p>
        </w:tc>
        <w:tc>
          <w:tcPr>
            <w:tcW w:type="dxa" w:w="2160"/>
          </w:tcPr>
          <w:p>
            <w:r>
              <w:t>México carece de un marco integral de IA en educación. Las iniciativas existentes, como el Centro Público de Formación en IA  y las líneas de acción de la SEP para IA generativa , constituyen pasos iniciales pero no una política articulada. Comprende</w:t>
            </w:r>
          </w:p>
        </w:tc>
        <w:tc>
          <w:tcPr>
            <w:tcW w:type="dxa" w:w="2160"/>
          </w:tcPr>
          <w:p>
            <w:r>
              <w:t>[NO MATCH IN CHROMA]</w:t>
            </w:r>
          </w:p>
        </w:tc>
        <w:tc>
          <w:tcPr>
            <w:tcW w:type="dxa" w:w="2160"/>
          </w:tcPr>
          <w:p>
            <w:r>
              <w:t>N/A</w:t>
            </w:r>
          </w:p>
        </w:tc>
      </w:tr>
      <w:tr>
        <w:tc>
          <w:tcPr>
            <w:tcW w:type="dxa" w:w="2160"/>
          </w:tcPr>
          <w:p>
            <w:r>
              <w:t>Cap02:L11</w:t>
              <w:br/>
              <w:t>rizvi2010globalizing</w:t>
            </w:r>
          </w:p>
        </w:tc>
        <w:tc>
          <w:tcPr>
            <w:tcW w:type="dxa" w:w="2160"/>
          </w:tcPr>
          <w:p>
            <w:r>
              <w:t>definen las políticas educativas como el conjunto de directrices, regulaciones y asignaciones de recursos mediante las cuales los gobiernos organizan y orientan los sistemas de enseñanza. A diferencia de otros ámbitos de la política social, las polít</w:t>
            </w:r>
          </w:p>
        </w:tc>
        <w:tc>
          <w:tcPr>
            <w:tcW w:type="dxa" w:w="2160"/>
          </w:tcPr>
          <w:p>
            <w:r>
              <w:t>[NO MATCH IN CHROMA]</w:t>
            </w:r>
          </w:p>
        </w:tc>
        <w:tc>
          <w:tcPr>
            <w:tcW w:type="dxa" w:w="2160"/>
          </w:tcPr>
          <w:p>
            <w:r>
              <w:t>N/A</w:t>
            </w:r>
          </w:p>
        </w:tc>
      </w:tr>
      <w:tr>
        <w:tc>
          <w:tcPr>
            <w:tcW w:type="dxa" w:w="2160"/>
          </w:tcPr>
          <w:p>
            <w:r>
              <w:t>Cap02:L11</w:t>
              <w:br/>
              <w:t>fatima2020aipolicy</w:t>
            </w:r>
          </w:p>
        </w:tc>
        <w:tc>
          <w:tcPr>
            <w:tcW w:type="dxa" w:w="2160"/>
          </w:tcPr>
          <w:p>
            <w:r>
              <w:t>definen las políticas educativas como el conjunto de directrices, regulaciones y asignaciones de recursos mediante las cuales los gobiernos organizan y orientan los sistemas de enseñanza. A diferencia de otros ámbitos de la política social, las polít</w:t>
            </w:r>
          </w:p>
        </w:tc>
        <w:tc>
          <w:tcPr>
            <w:tcW w:type="dxa" w:w="2160"/>
          </w:tcPr>
          <w:p>
            <w:r>
              <w:t>[NO MATCH IN CHROMA]</w:t>
            </w:r>
          </w:p>
        </w:tc>
        <w:tc>
          <w:tcPr>
            <w:tcW w:type="dxa" w:w="2160"/>
          </w:tcPr>
          <w:p>
            <w:r>
              <w:t>N/A</w:t>
            </w:r>
          </w:p>
        </w:tc>
      </w:tr>
      <w:tr>
        <w:tc>
          <w:tcPr>
            <w:tcW w:type="dxa" w:w="2160"/>
          </w:tcPr>
          <w:p>
            <w:r>
              <w:t>Cap02:L13</w:t>
              <w:br/>
              <w:t>howlett2003studying</w:t>
            </w:r>
          </w:p>
        </w:tc>
        <w:tc>
          <w:tcPr>
            <w:tcW w:type="dxa" w:w="2160"/>
          </w:tcPr>
          <w:p>
            <w:r>
              <w:t>Los países del corpus se encuentran en etapas distintas del proceso de políticas.  describieron fases sucesivas: establecimiento de agenda, formulación, adopción, implementación y evaluación. China, con siete documentos entre 2017 y 2025, se encuentr</w:t>
            </w:r>
          </w:p>
        </w:tc>
        <w:tc>
          <w:tcPr>
            <w:tcW w:type="dxa" w:w="2160"/>
          </w:tcPr>
          <w:p>
            <w:r>
              <w:t>[NO MATCH IN CHROMA]</w:t>
            </w:r>
          </w:p>
        </w:tc>
        <w:tc>
          <w:tcPr>
            <w:tcW w:type="dxa" w:w="2160"/>
          </w:tcPr>
          <w:p>
            <w:r>
              <w:t>N/A</w:t>
            </w:r>
          </w:p>
        </w:tc>
      </w:tr>
      <w:tr>
        <w:tc>
          <w:tcPr>
            <w:tcW w:type="dxa" w:w="2160"/>
          </w:tcPr>
          <w:p>
            <w:r>
              <w:t>Cap02:L18</w:t>
              <w:br/>
              <w:t>dolowitz2000learning</w:t>
            </w:r>
          </w:p>
        </w:tc>
        <w:tc>
          <w:tcPr>
            <w:tcW w:type="dxa" w:w="2160"/>
          </w:tcPr>
          <w:p>
            <w:r>
              <w:t>La globalización ha intensificado los flujos de ideas sobre política educativa entre países.  propusieron un marco para entender la transferencia como un proceso en el que conocimientos de un sistema político se usan para desarrollar políticas en otr</w:t>
            </w:r>
          </w:p>
        </w:tc>
        <w:tc>
          <w:tcPr>
            <w:tcW w:type="dxa" w:w="2160"/>
          </w:tcPr>
          <w:p>
            <w:r>
              <w:t>the role particular individuals and institutions play within this process; and the difficulties associated with attempting to place any particular case of policy transfer into a single category on the policy transfer continuum presented in Table 1 and discussed below. There are a number of obvious r...</w:t>
            </w:r>
          </w:p>
        </w:tc>
        <w:tc>
          <w:tcPr>
            <w:tcW w:type="dxa" w:w="2160"/>
          </w:tcPr>
          <w:p>
            <w:r>
              <w:t>0.254</w:t>
            </w:r>
          </w:p>
        </w:tc>
      </w:tr>
      <w:tr>
        <w:tc>
          <w:tcPr>
            <w:tcW w:type="dxa" w:w="2160"/>
          </w:tcPr>
          <w:p>
            <w:r>
              <w:t>Cap02:L18</w:t>
              <w:br/>
              <w:t>steinerkhamsi2014cross</w:t>
            </w:r>
          </w:p>
        </w:tc>
        <w:tc>
          <w:tcPr>
            <w:tcW w:type="dxa" w:w="2160"/>
          </w:tcPr>
          <w:p>
            <w:r>
              <w:t>La globalización ha intensificado los flujos de ideas sobre política educativa entre países.  propusieron un marco para entender la transferencia como un proceso en el que conocimientos de un sistema político se usan para desarrollar políticas en otr</w:t>
            </w:r>
          </w:p>
        </w:tc>
        <w:tc>
          <w:tcPr>
            <w:tcW w:type="dxa" w:w="2160"/>
          </w:tcPr>
          <w:p>
            <w:r>
              <w:t>ecially those that they are speciﬁcally seeking to emulate. A good example is the transatlantic transfer of “school choice” between educational systems in the US and the UK in the early 1990s. Externalization made a contested reform more palatable. During the phase of explosive growth (the middle ph...</w:t>
            </w:r>
          </w:p>
        </w:tc>
        <w:tc>
          <w:tcPr>
            <w:tcW w:type="dxa" w:w="2160"/>
          </w:tcPr>
          <w:p>
            <w:r>
              <w:t>0.214</w:t>
            </w:r>
          </w:p>
        </w:tc>
      </w:tr>
      <w:tr>
        <w:tc>
          <w:tcPr>
            <w:tcW w:type="dxa" w:w="2160"/>
          </w:tcPr>
          <w:p>
            <w:r>
              <w:t>Cap02:L18</w:t>
              <w:br/>
              <w:t>shipan2012diffusion</w:t>
            </w:r>
          </w:p>
        </w:tc>
        <w:tc>
          <w:tcPr>
            <w:tcW w:type="dxa" w:w="2160"/>
          </w:tcPr>
          <w:p>
            <w:r>
              <w:t>La globalización ha intensificado los flujos de ideas sobre política educativa entre países.  propusieron un marco para entender la transferencia como un proceso en el que conocimientos de un sistema político se usan para desarrollar políticas en otr</w:t>
            </w:r>
          </w:p>
        </w:tc>
        <w:tc>
          <w:tcPr>
            <w:tcW w:type="dxa" w:w="2160"/>
          </w:tcPr>
          <w:p>
            <w:r>
              <w:t>portunities to learn from other governments’ earlier policies while trying to avoid becoming attractive to a needy population. Local and state governments compete for businesses with various tax incentives. Th e centralization of education policy in recent decades, with more funding provided and reg...</w:t>
            </w:r>
          </w:p>
        </w:tc>
        <w:tc>
          <w:tcPr>
            <w:tcW w:type="dxa" w:w="2160"/>
          </w:tcPr>
          <w:p>
            <w:r>
              <w:t>0.317</w:t>
            </w:r>
          </w:p>
        </w:tc>
      </w:tr>
      <w:tr>
        <w:tc>
          <w:tcPr>
            <w:tcW w:type="dxa" w:w="2160"/>
          </w:tcPr>
          <w:p>
            <w:r>
              <w:t>Cap02:L25</w:t>
              <w:br/>
              <w:t>long2020ailiteracy</w:t>
            </w:r>
          </w:p>
        </w:tc>
        <w:tc>
          <w:tcPr>
            <w:tcW w:type="dxa" w:w="2160"/>
          </w:tcPr>
          <w:p>
            <w:r>
              <w:t>El concepto de alfabetización en IA ha emergido como un marco para definir qué debe saber un ciudadano sobre inteligencia artificial.  la definieron como el conjunto de competencias que permiten evaluar críticamente las tecnologías de IA, comunicarse</w:t>
            </w:r>
          </w:p>
        </w:tc>
        <w:tc>
          <w:tcPr>
            <w:tcW w:type="dxa" w:w="2160"/>
          </w:tcPr>
          <w:p>
            <w:r>
              <w:t>ncies that enables individuals to critically evaluate AI technologies; communicate and collaborate effectively with AI; and use AI as a tool online, at home, and in the workplace. The competencies and design considerations outlined in the remainder of this paper provide a more specific understanding...</w:t>
            </w:r>
          </w:p>
        </w:tc>
        <w:tc>
          <w:tcPr>
            <w:tcW w:type="dxa" w:w="2160"/>
          </w:tcPr>
          <w:p>
            <w:r>
              <w:t>0.170</w:t>
            </w:r>
          </w:p>
        </w:tc>
      </w:tr>
      <w:tr>
        <w:tc>
          <w:tcPr>
            <w:tcW w:type="dxa" w:w="2160"/>
          </w:tcPr>
          <w:p>
            <w:r>
              <w:t>Cap02:L25</w:t>
              <w:br/>
              <w:t>ng2021ailiteracy</w:t>
            </w:r>
          </w:p>
        </w:tc>
        <w:tc>
          <w:tcPr>
            <w:tcW w:type="dxa" w:w="2160"/>
          </w:tcPr>
          <w:p>
            <w:r>
              <w:t>El concepto de alfabetización en IA ha emergido como un marco para definir qué debe saber un ciudadano sobre inteligencia artificial.  la definieron como el conjunto de competencias que permiten evaluar críticamente las tecnologías de IA, comunicarse</w:t>
            </w:r>
          </w:p>
        </w:tc>
        <w:tc>
          <w:tcPr>
            <w:tcW w:type="dxa" w:w="2160"/>
          </w:tcPr>
          <w:p>
            <w:r>
              <w:t>literacy AI learning and teaching AI in education AI ethics AI literacy questionnaire ABSTRACT Artificial Intelligence (AI) has spread across industries (e.g., business, science, art, education) to enhance user experience, improve work efficiency, and create many future job opportunities. However, p...</w:t>
            </w:r>
          </w:p>
        </w:tc>
        <w:tc>
          <w:tcPr>
            <w:tcW w:type="dxa" w:w="2160"/>
          </w:tcPr>
          <w:p>
            <w:r>
              <w:t>0.153</w:t>
            </w:r>
          </w:p>
        </w:tc>
      </w:tr>
      <w:tr>
        <w:tc>
          <w:tcPr>
            <w:tcW w:type="dxa" w:w="2160"/>
          </w:tcPr>
          <w:p>
            <w:r>
              <w:t>Cap02:L27</w:t>
              <w:br/>
              <w:t>holmes2019aied</w:t>
            </w:r>
          </w:p>
        </w:tc>
        <w:tc>
          <w:tcPr>
            <w:tcW w:type="dxa" w:w="2160"/>
          </w:tcPr>
          <w:p>
            <w:r>
              <w:t>Existe una distinción relevante entre la IA como contenido de aprendizaje y la IA como herramienta pedagógica . En el primer caso los estudiantes aprenden sobre qué es la IA y cómo funciona. En el segundo, los sistemas de IA apoyan procesos de enseña</w:t>
            </w:r>
          </w:p>
        </w:tc>
        <w:tc>
          <w:tcPr>
            <w:tcW w:type="dxa" w:w="2160"/>
          </w:tcPr>
          <w:p>
            <w:r>
              <w:t>on etheless have a major impact on education, is the use of AI to support school and university administrative functions such as class timetabling, staff scheduling, facilities management, finances, cybersecurity, safety and security. Instead, we focus on the use of AI to support learning, what migh...</w:t>
            </w:r>
          </w:p>
        </w:tc>
        <w:tc>
          <w:tcPr>
            <w:tcW w:type="dxa" w:w="2160"/>
          </w:tcPr>
          <w:p>
            <w:r>
              <w:t>0.188</w:t>
            </w:r>
          </w:p>
        </w:tc>
      </w:tr>
      <w:tr>
        <w:tc>
          <w:tcPr>
            <w:tcW w:type="dxa" w:w="2160"/>
          </w:tcPr>
          <w:p>
            <w:r>
              <w:t>Cap02:L27</w:t>
              <w:br/>
              <w:t>unesco2023genai</w:t>
            </w:r>
          </w:p>
        </w:tc>
        <w:tc>
          <w:tcPr>
            <w:tcW w:type="dxa" w:w="2160"/>
          </w:tcPr>
          <w:p>
            <w:r>
              <w:t>Existe una distinción relevante entre la IA como contenido de aprendizaje y la IA como herramienta pedagógica . En el primer caso los estudiantes aprenden sobre qué es la IA y cómo funciona. En el segundo, los sistemas de IA apoyan procesos de enseña</w:t>
            </w:r>
          </w:p>
        </w:tc>
        <w:tc>
          <w:tcPr>
            <w:tcW w:type="dxa" w:w="2160"/>
          </w:tcPr>
          <w:p>
            <w:r>
              <w:t>sus affirms that the use of AI technologies in education should enhance human capacities for sustainable development and effective human-machine collaboration in life, learning and work. It also calls for further actions to ensure equitable access to AI to support marginalized people and address ine...</w:t>
            </w:r>
          </w:p>
        </w:tc>
        <w:tc>
          <w:tcPr>
            <w:tcW w:type="dxa" w:w="2160"/>
          </w:tcPr>
          <w:p>
            <w:r>
              <w:t>0.202</w:t>
            </w:r>
          </w:p>
        </w:tc>
      </w:tr>
      <w:tr>
        <w:tc>
          <w:tcPr>
            <w:tcW w:type="dxa" w:w="2160"/>
          </w:tcPr>
          <w:p>
            <w:r>
              <w:t>Cap02:L27</w:t>
              <w:br/>
              <w:t>mishra2006technological</w:t>
            </w:r>
          </w:p>
        </w:tc>
        <w:tc>
          <w:tcPr>
            <w:tcW w:type="dxa" w:w="2160"/>
          </w:tcPr>
          <w:p>
            <w:r>
              <w:t>Existe una distinción relevante entre la IA como contenido de aprendizaje y la IA como herramienta pedagógica . En el primer caso los estudiantes aprenden sobre qué es la IA y cómo funciona. En el segundo, los sistemas de IA apoyan procesos de enseña</w:t>
            </w:r>
          </w:p>
        </w:tc>
        <w:tc>
          <w:tcPr>
            <w:tcW w:type="dxa" w:w="2160"/>
          </w:tcPr>
          <w:p>
            <w:r>
              <w:t>[NO MATCH IN CHROMA]</w:t>
            </w:r>
          </w:p>
        </w:tc>
        <w:tc>
          <w:tcPr>
            <w:tcW w:type="dxa" w:w="2160"/>
          </w:tcPr>
          <w:p>
            <w:r>
              <w:t>N/A</w:t>
            </w:r>
          </w:p>
        </w:tc>
      </w:tr>
      <w:tr>
        <w:tc>
          <w:tcPr>
            <w:tcW w:type="dxa" w:w="2160"/>
          </w:tcPr>
          <w:p>
            <w:r>
              <w:t>Cap02:L34</w:t>
              <w:br/>
              <w:t>unesco2019beijing</w:t>
            </w:r>
          </w:p>
        </w:tc>
        <w:tc>
          <w:tcPr>
            <w:tcW w:type="dxa" w:w="2160"/>
          </w:tcPr>
          <w:p>
            <w:r>
              <w:t>La UNESCO fue pionera con el Consenso de Beijing de 2019, que estableció cinco áreas prioritarias . Después publicó una recomendación sobre ética de la IA  y una guía para IA generativa en educación .  tradujeron estos principios en recomendaciones c</w:t>
            </w:r>
          </w:p>
        </w:tc>
        <w:tc>
          <w:tcPr>
            <w:tcW w:type="dxa" w:w="2160"/>
          </w:tcPr>
          <w:p>
            <w:r>
              <w:t>eneral of UNESCO to seek to implement the following actions: 39. Establish an ‘AI for Education’ platform to act as a clearinghouse for open-source AI courses, AI tools, examples of AI in education policies, regulatory frameworks and best practices on AI in education, with a view towards promoting t...</w:t>
            </w:r>
          </w:p>
        </w:tc>
        <w:tc>
          <w:tcPr>
            <w:tcW w:type="dxa" w:w="2160"/>
          </w:tcPr>
          <w:p>
            <w:r>
              <w:t>0.302</w:t>
            </w:r>
          </w:p>
        </w:tc>
      </w:tr>
      <w:tr>
        <w:tc>
          <w:tcPr>
            <w:tcW w:type="dxa" w:w="2160"/>
          </w:tcPr>
          <w:p>
            <w:r>
              <w:t>Cap02:L34</w:t>
              <w:br/>
              <w:t>unesco2021ai</w:t>
            </w:r>
          </w:p>
        </w:tc>
        <w:tc>
          <w:tcPr>
            <w:tcW w:type="dxa" w:w="2160"/>
          </w:tcPr>
          <w:p>
            <w:r>
              <w:t>La UNESCO fue pionera con el Consenso de Beijing de 2019, que estableció cinco áreas prioritarias . Después publicó una recomendación sobre ética de la IA  y una guía para IA generativa en educación .  tradujeron estos principios en recomendaciones c</w:t>
            </w:r>
          </w:p>
        </w:tc>
        <w:tc>
          <w:tcPr>
            <w:tcW w:type="dxa" w:w="2160"/>
          </w:tcPr>
          <w:p>
            <w:r>
              <w:t>1 UNESCO’s Input in reply to the OHCHR report on the Human Rights Council Resolution 47/23 entitled “New and emerging digital technologies and human rights” UNESCO Recommendation on the Ethics of Artificial Intelligence 1. On 23 November 2021 , UNESCO’s 193 Member States adopted the first global nor...</w:t>
            </w:r>
          </w:p>
        </w:tc>
        <w:tc>
          <w:tcPr>
            <w:tcW w:type="dxa" w:w="2160"/>
          </w:tcPr>
          <w:p>
            <w:r>
              <w:t>0.388</w:t>
            </w:r>
          </w:p>
        </w:tc>
      </w:tr>
      <w:tr>
        <w:tc>
          <w:tcPr>
            <w:tcW w:type="dxa" w:w="2160"/>
          </w:tcPr>
          <w:p>
            <w:r>
              <w:t>Cap02:L34</w:t>
              <w:br/>
              <w:t>unesco2023genai</w:t>
            </w:r>
          </w:p>
        </w:tc>
        <w:tc>
          <w:tcPr>
            <w:tcW w:type="dxa" w:w="2160"/>
          </w:tcPr>
          <w:p>
            <w:r>
              <w:t>La UNESCO fue pionera con el Consenso de Beijing de 2019, que estableció cinco áreas prioritarias . Después publicó una recomendación sobre ética de la IA  y una guía para IA generativa en educación .  tradujeron estos principios en recomendaciones c</w:t>
            </w:r>
          </w:p>
        </w:tc>
        <w:tc>
          <w:tcPr>
            <w:tcW w:type="dxa" w:w="2160"/>
          </w:tcPr>
          <w:p>
            <w:r>
              <w:t>Guidance for generative AI in education and research The Global Education 2030 Agenda UNESCO, as the United Nations’ specialized agency for education, is entrusted to lead and coordinate the Education 2030 Agenda, which is part of a global movement to eradicate poverty through 17 Sustainable Develop...</w:t>
            </w:r>
          </w:p>
        </w:tc>
        <w:tc>
          <w:tcPr>
            <w:tcW w:type="dxa" w:w="2160"/>
          </w:tcPr>
          <w:p>
            <w:r>
              <w:t>0.250</w:t>
            </w:r>
          </w:p>
        </w:tc>
      </w:tr>
      <w:tr>
        <w:tc>
          <w:tcPr>
            <w:tcW w:type="dxa" w:w="2160"/>
          </w:tcPr>
          <w:p>
            <w:r>
              <w:t>Cap02:L34</w:t>
              <w:br/>
              <w:t>miao2021guidance</w:t>
            </w:r>
          </w:p>
        </w:tc>
        <w:tc>
          <w:tcPr>
            <w:tcW w:type="dxa" w:w="2160"/>
          </w:tcPr>
          <w:p>
            <w:r>
              <w:t>La UNESCO fue pionera con el Consenso de Beijing de 2019, que estableció cinco áreas prioritarias . Después publicó una recomendación sobre ética de la IA  y una guía para IA generativa en educación .  tradujeron estos principios en recomendaciones c</w:t>
            </w:r>
          </w:p>
        </w:tc>
        <w:tc>
          <w:tcPr>
            <w:tcW w:type="dxa" w:w="2160"/>
          </w:tcPr>
          <w:p>
            <w:r>
              <w:t>0. The Beijing Consensus notably recommends that UNESCO develop guidelines and resources to support the capacity-building of education policy-makers and the integration of AI skills into ICT competency frameworks. More broadly, it calls on UNESCO to take a holistic approach to strengthening internat...</w:t>
            </w:r>
          </w:p>
        </w:tc>
        <w:tc>
          <w:tcPr>
            <w:tcW w:type="dxa" w:w="2160"/>
          </w:tcPr>
          <w:p>
            <w:r>
              <w:t>0.208</w:t>
            </w:r>
          </w:p>
        </w:tc>
      </w:tr>
      <w:tr>
        <w:tc>
          <w:tcPr>
            <w:tcW w:type="dxa" w:w="2160"/>
          </w:tcPr>
          <w:p>
            <w:r>
              <w:t>Cap02:L36</w:t>
              <w:br/>
              <w:t>oecd2019ai</w:t>
            </w:r>
          </w:p>
        </w:tc>
        <w:tc>
          <w:tcPr>
            <w:tcW w:type="dxa" w:w="2160"/>
          </w:tcPr>
          <w:p>
            <w:r>
              <w:t>La OCDE, por su parte, adoptó en 2019 sus Principios sobre IA  y desarrolló el Education Policy Outlook , un marco estandarizado que informa las dimensiones del análisis de esta investigación. El Foro Económico Mundial ha enmarcado la educación en IA</w:t>
            </w:r>
          </w:p>
        </w:tc>
        <w:tc>
          <w:tcPr>
            <w:tcW w:type="dxa" w:w="2160"/>
          </w:tcPr>
          <w:p>
            <w:r>
              <w:t>cribes AI initiatives from governments and other stakeholders at national and international levels. This work has demonstrated the need to shape a stable policy environment at the international level to foster trust in and adoption of AI in society. Against this background, the OECD Committee on Dig...</w:t>
            </w:r>
          </w:p>
        </w:tc>
        <w:tc>
          <w:tcPr>
            <w:tcW w:type="dxa" w:w="2160"/>
          </w:tcPr>
          <w:p>
            <w:r>
              <w:t>0.272</w:t>
            </w:r>
          </w:p>
        </w:tc>
      </w:tr>
      <w:tr>
        <w:tc>
          <w:tcPr>
            <w:tcW w:type="dxa" w:w="2160"/>
          </w:tcPr>
          <w:p>
            <w:r>
              <w:t>Cap02:L36</w:t>
              <w:br/>
              <w:t>oecd2021epo</w:t>
            </w:r>
          </w:p>
        </w:tc>
        <w:tc>
          <w:tcPr>
            <w:tcW w:type="dxa" w:w="2160"/>
          </w:tcPr>
          <w:p>
            <w:r>
              <w:t>La OCDE, por su parte, adoptó en 2019 sus Principios sobre IA  y desarrolló el Education Policy Outlook , un marco estandarizado que informa las dimensiones del análisis de esta investigación. El Foro Económico Mundial ha enmarcado la educación en IA</w:t>
            </w:r>
          </w:p>
        </w:tc>
        <w:tc>
          <w:tcPr>
            <w:tcW w:type="dxa" w:w="2160"/>
          </w:tcPr>
          <w:p>
            <w:r>
              <w:t>locks to develop, strengthen and mobilise international knowledge of education policy. The OECD Secretariat is immensely grateful to the many contributors who helped shape the objectives of the work of the OECD Education Policy Outlook during 2020 and 2021. From March 2020, in the context of the glo...</w:t>
            </w:r>
          </w:p>
        </w:tc>
        <w:tc>
          <w:tcPr>
            <w:tcW w:type="dxa" w:w="2160"/>
          </w:tcPr>
          <w:p>
            <w:r>
              <w:t>0.247</w:t>
            </w:r>
          </w:p>
        </w:tc>
      </w:tr>
      <w:tr>
        <w:tc>
          <w:tcPr>
            <w:tcW w:type="dxa" w:w="2160"/>
          </w:tcPr>
          <w:p>
            <w:r>
              <w:t>Cap02:L36</w:t>
              <w:br/>
              <w:t>wef2020future</w:t>
            </w:r>
          </w:p>
        </w:tc>
        <w:tc>
          <w:tcPr>
            <w:tcW w:type="dxa" w:w="2160"/>
          </w:tcPr>
          <w:p>
            <w:r>
              <w:t>La OCDE, por su parte, adoptó en 2019 sus Principios sobre IA  y desarrolló el Education Policy Outlook , un marco estandarizado que informa las dimensiones del análisis de esta investigación. El Foro Económico Mundial ha enmarcado la educación en IA</w:t>
            </w:r>
          </w:p>
        </w:tc>
        <w:tc>
          <w:tcPr>
            <w:tcW w:type="dxa" w:w="2160"/>
          </w:tcPr>
          <w:p>
            <w:r>
              <w:t>ls and learning; and diversity, equity and inclusion. By leveraging this publication and other insights, the Platform supports a range of consortia and action coalitions, including the Reskilling Revolution Initiative to provide better jobs, skills and education to one billion people by 2030. We are...</w:t>
            </w:r>
          </w:p>
        </w:tc>
        <w:tc>
          <w:tcPr>
            <w:tcW w:type="dxa" w:w="2160"/>
          </w:tcPr>
          <w:p>
            <w:r>
              <w:t>0.411</w:t>
            </w:r>
          </w:p>
        </w:tc>
      </w:tr>
      <w:tr>
        <w:tc>
          <w:tcPr>
            <w:tcW w:type="dxa" w:w="2160"/>
          </w:tcPr>
          <w:p>
            <w:r>
              <w:t>Cap02:L41</w:t>
              <w:br/>
              <w:t>bray1995levels</w:t>
            </w:r>
          </w:p>
        </w:tc>
        <w:tc>
          <w:tcPr>
            <w:tcW w:type="dxa" w:w="2160"/>
          </w:tcPr>
          <w:p>
            <w:r>
              <w:t>El marco tridimensional de  cruza niveles geográficos, grupos demográficos y aspectos de la educación. La presente investigación opera en el nivel nacional, abarca siete países y se enfoca en las políticas de IA en educación. Las nueve dimensiones de</w:t>
            </w:r>
          </w:p>
        </w:tc>
        <w:tc>
          <w:tcPr>
            <w:tcW w:type="dxa" w:w="2160"/>
          </w:tcPr>
          <w:p>
            <w:r>
              <w:t>[NO MATCH IN CHROMA]</w:t>
            </w:r>
          </w:p>
        </w:tc>
        <w:tc>
          <w:tcPr>
            <w:tcW w:type="dxa" w:w="2160"/>
          </w:tcPr>
          <w:p>
            <w:r>
              <w:t>N/A</w:t>
            </w:r>
          </w:p>
        </w:tc>
      </w:tr>
      <w:tr>
        <w:tc>
          <w:tcPr>
            <w:tcW w:type="dxa" w:w="2160"/>
          </w:tcPr>
          <w:p>
            <w:r>
              <w:t>Cap02:L43</w:t>
              <w:br/>
              <w:t>rizvi2010globalizing</w:t>
            </w:r>
          </w:p>
        </w:tc>
        <w:tc>
          <w:tcPr>
            <w:tcW w:type="dxa" w:w="2160"/>
          </w:tcPr>
          <w:p>
            <w:r>
              <w:t>Una distinción útil para este trabajo es la que propusieron  entre política como texto (lo que el documento dice), como discurso (cómo lo enmarca) y como efecto (qué ocurre cuando se implementa). El análisis opera en los planos de texto y discurso. L</w:t>
            </w:r>
          </w:p>
        </w:tc>
        <w:tc>
          <w:tcPr>
            <w:tcW w:type="dxa" w:w="2160"/>
          </w:tcPr>
          <w:p>
            <w:r>
              <w:t>[NO MATCH IN CHROMA]</w:t>
            </w:r>
          </w:p>
        </w:tc>
        <w:tc>
          <w:tcPr>
            <w:tcW w:type="dxa" w:w="2160"/>
          </w:tcPr>
          <w:p>
            <w:r>
              <w:t>N/A</w:t>
            </w:r>
          </w:p>
        </w:tc>
      </w:tr>
      <w:tr>
        <w:tc>
          <w:tcPr>
            <w:tcW w:type="dxa" w:w="2160"/>
          </w:tcPr>
          <w:p>
            <w:r>
              <w:t>Cap02:L45</w:t>
              <w:br/>
              <w:t>bray2014comparative</w:t>
            </w:r>
          </w:p>
        </w:tc>
        <w:tc>
          <w:tcPr>
            <w:tcW w:type="dxa" w:w="2160"/>
          </w:tcPr>
          <w:p>
            <w:r>
              <w:t>Los métodos de análisis comparativo en este campo han sido predominantemente cualitativos . El paradigma de análisis computacional de textos, sistematizado por , establece que los métodos computacionales aumentan la capacidad del investigador sin ree</w:t>
            </w:r>
          </w:p>
        </w:tc>
        <w:tc>
          <w:tcPr>
            <w:tcW w:type="dxa" w:w="2160"/>
          </w:tcPr>
          <w:p>
            <w:r>
              <w:t>[NO MATCH IN CHROMA]</w:t>
            </w:r>
          </w:p>
        </w:tc>
        <w:tc>
          <w:tcPr>
            <w:tcW w:type="dxa" w:w="2160"/>
          </w:tcPr>
          <w:p>
            <w:r>
              <w:t>N/A</w:t>
            </w:r>
          </w:p>
        </w:tc>
      </w:tr>
      <w:tr>
        <w:tc>
          <w:tcPr>
            <w:tcW w:type="dxa" w:w="2160"/>
          </w:tcPr>
          <w:p>
            <w:r>
              <w:t>Cap02:L45</w:t>
              <w:br/>
              <w:t>grimmer2022text</w:t>
            </w:r>
          </w:p>
        </w:tc>
        <w:tc>
          <w:tcPr>
            <w:tcW w:type="dxa" w:w="2160"/>
          </w:tcPr>
          <w:p>
            <w:r>
              <w:t>Los métodos de análisis comparativo en este campo han sido predominantemente cualitativos . El paradigma de análisis computacional de textos, sistematizado por , establece que los métodos computacionales aumentan la capacidad del investigador sin ree</w:t>
            </w:r>
          </w:p>
        </w:tc>
        <w:tc>
          <w:tcPr>
            <w:tcW w:type="dxa" w:w="2160"/>
          </w:tcPr>
          <w:p>
            <w:r>
              <w:t>[NO MATCH IN CHROMA]</w:t>
            </w:r>
          </w:p>
        </w:tc>
        <w:tc>
          <w:tcPr>
            <w:tcW w:type="dxa" w:w="2160"/>
          </w:tcPr>
          <w:p>
            <w:r>
              <w:t>N/A</w:t>
            </w:r>
          </w:p>
        </w:tc>
      </w:tr>
      <w:tr>
        <w:tc>
          <w:tcPr>
            <w:tcW w:type="dxa" w:w="2160"/>
          </w:tcPr>
          <w:p>
            <w:r>
              <w:t>Cap02:L50</w:t>
              <w:br/>
              <w:t>oecd2021epo</w:t>
            </w:r>
          </w:p>
        </w:tc>
        <w:tc>
          <w:tcPr>
            <w:tcW w:type="dxa" w:w="2160"/>
          </w:tcPr>
          <w:p>
            <w:r>
              <w:t>Las nueve dimensiones que estructuran la comparación se derivan de marcos establecidos mediante una cadena explícita: marco teórico, dimensión nombrada, párrafo ancla, representación numérica del significado. El Education Policy Outlook de la OCDE  p</w:t>
            </w:r>
          </w:p>
        </w:tc>
        <w:tc>
          <w:tcPr>
            <w:tcW w:type="dxa" w:w="2160"/>
          </w:tcPr>
          <w:p>
            <w:r>
              <w:t>components often play an important role in diagnosing learning needs and monitoring the impact of interventions on student progress. The information gathered through these mechanisms means that strategies can evolve with the needs of individual students and contexts , and that policy makers can make...</w:t>
            </w:r>
          </w:p>
        </w:tc>
        <w:tc>
          <w:tcPr>
            <w:tcW w:type="dxa" w:w="2160"/>
          </w:tcPr>
          <w:p>
            <w:r>
              <w:t>0.376</w:t>
            </w:r>
          </w:p>
        </w:tc>
      </w:tr>
      <w:tr>
        <w:tc>
          <w:tcPr>
            <w:tcW w:type="dxa" w:w="2160"/>
          </w:tcPr>
          <w:p>
            <w:r>
              <w:t>Cap02:L50</w:t>
              <w:br/>
              <w:t>unesco2019beijing</w:t>
            </w:r>
          </w:p>
        </w:tc>
        <w:tc>
          <w:tcPr>
            <w:tcW w:type="dxa" w:w="2160"/>
          </w:tcPr>
          <w:p>
            <w:r>
              <w:t>Las nueve dimensiones que estructuran la comparación se derivan de marcos establecidos mediante una cadena explícita: marco teórico, dimensión nombrada, párrafo ancla, representación numérica del significado. El Education Policy Outlook de la OCDE  p</w:t>
            </w:r>
          </w:p>
        </w:tc>
        <w:tc>
          <w:tcPr>
            <w:tcW w:type="dxa" w:w="2160"/>
          </w:tcPr>
          <w:p>
            <w:r>
              <w:t>cross-national comparative research and collaboration. 32. Consider the development of monitoring and evaluation mechanisms to measure the impact of AI on education, teaching and learning, in order to provide a valid and robust evidence-based foundation for policy-making. We RECOMMEND that internati...</w:t>
            </w:r>
          </w:p>
        </w:tc>
        <w:tc>
          <w:tcPr>
            <w:tcW w:type="dxa" w:w="2160"/>
          </w:tcPr>
          <w:p>
            <w:r>
              <w:t>0.477</w:t>
            </w:r>
          </w:p>
        </w:tc>
      </w:tr>
      <w:tr>
        <w:tc>
          <w:tcPr>
            <w:tcW w:type="dxa" w:w="2160"/>
          </w:tcPr>
          <w:p>
            <w:r>
              <w:t>Cap02:L50</w:t>
              <w:br/>
              <w:t>miao2021guidance</w:t>
            </w:r>
          </w:p>
        </w:tc>
        <w:tc>
          <w:tcPr>
            <w:tcW w:type="dxa" w:w="2160"/>
          </w:tcPr>
          <w:p>
            <w:r>
              <w:t>Las nueve dimensiones que estructuran la comparación se derivan de marcos establecidos mediante una cadena explícita: marco teórico, dimensión nombrada, párrafo ancla, representación numérica del significado. El Education Policy Outlook de la OCDE  p</w:t>
            </w:r>
          </w:p>
        </w:tc>
        <w:tc>
          <w:tcPr>
            <w:tcW w:type="dxa" w:w="2160"/>
          </w:tcPr>
          <w:p>
            <w:r>
              <w:t>Mainstreaming the necessary human values and skills will require a system-wide, even a society-wide, framework involving several complementary dimensions: (i) facilitating lifelong learning, so that everyone (especially older people) gains a robust understanding of AI78 (in particular, how data are ...</w:t>
            </w:r>
          </w:p>
        </w:tc>
        <w:tc>
          <w:tcPr>
            <w:tcW w:type="dxa" w:w="2160"/>
          </w:tcPr>
          <w:p>
            <w:r>
              <w:t>0.448</w:t>
            </w:r>
          </w:p>
        </w:tc>
      </w:tr>
      <w:tr>
        <w:tc>
          <w:tcPr>
            <w:tcW w:type="dxa" w:w="2160"/>
          </w:tcPr>
          <w:p>
            <w:r>
              <w:t>Cap02:L50</w:t>
              <w:br/>
              <w:t>shipan2012diffusion</w:t>
            </w:r>
          </w:p>
        </w:tc>
        <w:tc>
          <w:tcPr>
            <w:tcW w:type="dxa" w:w="2160"/>
          </w:tcPr>
          <w:p>
            <w:r>
              <w:t>Las nueve dimensiones que estructuran la comparación se derivan de marcos establecidos mediante una cadena explícita: marco teórico, dimensión nombrada, párrafo ancla, representación numérica del significado. El Education Policy Outlook de la OCDE  p</w:t>
            </w:r>
          </w:p>
        </w:tc>
        <w:tc>
          <w:tcPr>
            <w:tcW w:type="dxa" w:w="2160"/>
          </w:tcPr>
          <w:p>
            <w:r>
              <w:t>n ﬁ ve dimensions: complexity and compatibility (as in the foregoing examples), as well as observability (whether the eﬀ ects could be easily seen by others), relative advantage (whether the policy is perceived to have signiﬁ cant advantages over past policy), and trialability (whether the policy co...</w:t>
            </w:r>
          </w:p>
        </w:tc>
        <w:tc>
          <w:tcPr>
            <w:tcW w:type="dxa" w:w="2160"/>
          </w:tcPr>
          <w:p>
            <w:r>
              <w:t>0.505</w:t>
            </w:r>
          </w:p>
        </w:tc>
      </w:tr>
      <w:tr>
        <w:tc>
          <w:tcPr>
            <w:tcW w:type="dxa" w:w="2160"/>
          </w:tcPr>
          <w:p>
            <w:r>
              <w:t>Cap02:L50</w:t>
              <w:br/>
              <w:t>bray1995levels</w:t>
            </w:r>
          </w:p>
        </w:tc>
        <w:tc>
          <w:tcPr>
            <w:tcW w:type="dxa" w:w="2160"/>
          </w:tcPr>
          <w:p>
            <w:r>
              <w:t>Las nueve dimensiones que estructuran la comparación se derivan de marcos establecidos mediante una cadena explícita: marco teórico, dimensión nombrada, párrafo ancla, representación numérica del significado. El Education Policy Outlook de la OCDE  p</w:t>
            </w:r>
          </w:p>
        </w:tc>
        <w:tc>
          <w:tcPr>
            <w:tcW w:type="dxa" w:w="2160"/>
          </w:tcPr>
          <w:p>
            <w:r>
              <w:t>[NO MATCH IN CHROMA]</w:t>
            </w:r>
          </w:p>
        </w:tc>
        <w:tc>
          <w:tcPr>
            <w:tcW w:type="dxa" w:w="2160"/>
          </w:tcPr>
          <w:p>
            <w:r>
              <w:t>N/A</w:t>
            </w:r>
          </w:p>
        </w:tc>
      </w:tr>
      <w:tr>
        <w:tc>
          <w:tcPr>
            <w:tcW w:type="dxa" w:w="2160"/>
          </w:tcPr>
          <w:p>
            <w:r>
              <w:t>Cap02:L84</w:t>
              <w:br/>
              <w:t>reimers2019sentencebert</w:t>
            </w:r>
          </w:p>
        </w:tc>
        <w:tc>
          <w:tcPr>
            <w:tcW w:type="dxa" w:w="2160"/>
          </w:tcPr>
          <w:p>
            <w:r>
              <w:t>Cada dimensión se operacionaliza mediante un párrafo ancla de 3 a 5 oraciones que describe qué se observa cuando un documento de política aborda esa dimensión. Un modelo de análisis semántico multilingüe convierte cada párrafo en una representación n</w:t>
            </w:r>
          </w:p>
        </w:tc>
        <w:tc>
          <w:tcPr>
            <w:tcW w:type="dxa" w:w="2160"/>
          </w:tcPr>
          <w:p>
            <w:r>
              <w:t>a well studied area with dozens of proposed methods. Skip-Thought (Kiros et al., 2015) trains an encoder-decoder ar- chitecture to predict the surrounding sentences. InferSent (Conneau et al., 2017) uses labeled data of the Stanford Natural Language Inference dataset (Bowman et al., 2015) and the Mu...</w:t>
            </w:r>
          </w:p>
        </w:tc>
        <w:tc>
          <w:tcPr>
            <w:tcW w:type="dxa" w:w="2160"/>
          </w:tcPr>
          <w:p>
            <w:r>
              <w:t>0.453</w:t>
            </w:r>
          </w:p>
        </w:tc>
      </w:tr>
      <w:tr>
        <w:tc>
          <w:tcPr>
            <w:tcW w:type="dxa" w:w="2160"/>
          </w:tcPr>
          <w:p>
            <w:r>
              <w:t>Cap02:L84</w:t>
              <w:br/>
              <w:t>nosek2018preregistration</w:t>
            </w:r>
          </w:p>
        </w:tc>
        <w:tc>
          <w:tcPr>
            <w:tcW w:type="dxa" w:w="2160"/>
          </w:tcPr>
          <w:p>
            <w:r>
              <w:t>Cada dimensión se operacionaliza mediante un párrafo ancla de 3 a 5 oraciones que describe qué se observa cuando un documento de política aborda esa dimensión. Un modelo de análisis semántico multilingüe convierte cada párrafo en una representación n</w:t>
            </w:r>
          </w:p>
        </w:tc>
        <w:tc>
          <w:tcPr>
            <w:tcW w:type="dxa" w:w="2160"/>
          </w:tcPr>
          <w:p>
            <w:r>
              <w:t>define stages and preregister incrementally. For example, a researcher could define a preregistration that evaluates distributional forms of variables to determine data exclusions, transformations, and appropriate model assumptions that do not reveal anything about the research outcomes. After that,...</w:t>
            </w:r>
          </w:p>
        </w:tc>
        <w:tc>
          <w:tcPr>
            <w:tcW w:type="dxa" w:w="2160"/>
          </w:tcPr>
          <w:p>
            <w:r>
              <w:t>0.560</w:t>
            </w:r>
          </w:p>
        </w:tc>
      </w:tr>
      <w:tr>
        <w:tc>
          <w:tcPr>
            <w:tcW w:type="dxa" w:w="2160"/>
          </w:tcPr>
          <w:p>
            <w:r>
              <w:t>Cap02:L89</w:t>
              <w:br/>
              <w:t>grimmer2013text</w:t>
            </w:r>
          </w:p>
        </w:tc>
        <w:tc>
          <w:tcPr>
            <w:tcW w:type="dxa" w:w="2160"/>
          </w:tcPr>
          <w:p>
            <w:r>
              <w:t xml:space="preserve">El análisis computacional de textos permite operar sobre un corpus multilingüe a una escala que la lectura humana individual no alcanza.  establecieron el principio rector: los métodos computacionales amplifican la capacidad del investigador pero no </w:t>
            </w:r>
          </w:p>
        </w:tc>
        <w:tc>
          <w:tcPr>
            <w:tcW w:type="dxa" w:w="2160"/>
          </w:tcPr>
          <w:p>
            <w:r>
              <w:t>ught by re- searchers nor remove the necessity of reading texts. Indeed a deep understanding of the texts is one of the key advantages of the social scientist in applying automated methods. We will see below that researchers still guide the process, make modeling decisions, and interpret the output ...</w:t>
            </w:r>
          </w:p>
        </w:tc>
        <w:tc>
          <w:tcPr>
            <w:tcW w:type="dxa" w:w="2160"/>
          </w:tcPr>
          <w:p>
            <w:r>
              <w:t>0.334</w:t>
            </w:r>
          </w:p>
        </w:tc>
      </w:tr>
      <w:tr>
        <w:tc>
          <w:tcPr>
            <w:tcW w:type="dxa" w:w="2160"/>
          </w:tcPr>
          <w:p>
            <w:r>
              <w:t>Cap02:L91</w:t>
              <w:br/>
              <w:t>reimers2019sentencebert</w:t>
            </w:r>
          </w:p>
        </w:tc>
        <w:tc>
          <w:tcPr>
            <w:tcW w:type="dxa" w:w="2160"/>
          </w:tcPr>
          <w:p>
            <w:r>
              <w:t>La técnica central es la representación semántica de textos: cada fragmento de un documento se convierte en una representación numérica que captura su significado. Un modelo de análisis multilingüe genera estas representaciones de manera que textos c</w:t>
            </w:r>
          </w:p>
        </w:tc>
        <w:tc>
          <w:tcPr>
            <w:tcW w:type="dxa" w:w="2160"/>
          </w:tcPr>
          <w:p>
            <w:r>
              <w:t>nal Linguistics. Jeffrey Pennington, Richard Socher, and Christo- pher D. Manning. 2014. GloVe: Global Vectors for Word Representation. In Empirical Methods in Nat- ural Language Processing (EMNLP) , pages 1532– 1543. Yifan Qiao, Chenyan Xiong, Zheng-Hao Liu, and Zhiyuan Liu. 2019. Understanding the...</w:t>
            </w:r>
          </w:p>
        </w:tc>
        <w:tc>
          <w:tcPr>
            <w:tcW w:type="dxa" w:w="2160"/>
          </w:tcPr>
          <w:p>
            <w:r>
              <w:t>0.331</w:t>
            </w:r>
          </w:p>
        </w:tc>
      </w:tr>
      <w:tr>
        <w:tc>
          <w:tcPr>
            <w:tcW w:type="dxa" w:w="2160"/>
          </w:tcPr>
          <w:p>
            <w:r>
              <w:t>Cap02:L91</w:t>
              <w:br/>
              <w:t>conneau2020unsupervised</w:t>
            </w:r>
          </w:p>
        </w:tc>
        <w:tc>
          <w:tcPr>
            <w:tcW w:type="dxa" w:w="2160"/>
          </w:tcPr>
          <w:p>
            <w:r>
              <w:t>La técnica central es la representación semántica de textos: cada fragmento de un documento se convierte en una representación numérica que captura su significado. Un modelo de análisis multilingüe genera estas representaciones de manera que textos c</w:t>
            </w:r>
          </w:p>
        </w:tc>
        <w:tc>
          <w:tcPr>
            <w:tcW w:type="dxa" w:w="2160"/>
          </w:tcPr>
          <w:p>
            <w:r>
              <w:t>we build a clean Com- monCrawl Corpus in 100 languages. We use an internal language identiﬁcation model in combina- tion with the one from fastText (Joulin et al., 2017). We train language models in each language and use it to ﬁlter documents as described in Wenzek et al. (2019). We consider one Com...</w:t>
            </w:r>
          </w:p>
        </w:tc>
        <w:tc>
          <w:tcPr>
            <w:tcW w:type="dxa" w:w="2160"/>
          </w:tcPr>
          <w:p>
            <w:r>
              <w:t>0.356</w:t>
            </w:r>
          </w:p>
        </w:tc>
      </w:tr>
      <w:tr>
        <w:tc>
          <w:tcPr>
            <w:tcW w:type="dxa" w:w="2160"/>
          </w:tcPr>
          <w:p>
            <w:r>
              <w:t>Cap02:L93</w:t>
              <w:br/>
              <w:t>grootendorst2022bertopic</w:t>
            </w:r>
          </w:p>
        </w:tc>
        <w:tc>
          <w:tcPr>
            <w:tcW w:type="dxa" w:w="2160"/>
          </w:tcPr>
          <w:p>
            <w:r>
              <w:t>El descubrimiento automático de temas identifica la estructura temática de un corpus sin imponer categorías previas . El método agrupa los fragmentos por similitud semántica y luego identifica las palabras más representativas de cada grupo. En esta i</w:t>
            </w:r>
          </w:p>
        </w:tc>
        <w:tc>
          <w:tcPr>
            <w:tcW w:type="dxa" w:w="2160"/>
          </w:tcPr>
          <w:p>
            <w:r>
              <w:t>ity of clustering embeddings with centroid- based techniques, compared to conventional meth- ods such as LDA, as a way to represent topics. From these clustered embeddings, topic representa- tions were extracted by embedding words and ﬁnd- ing those that are in close proximity to a cluster’s centroi...</w:t>
            </w:r>
          </w:p>
        </w:tc>
        <w:tc>
          <w:tcPr>
            <w:tcW w:type="dxa" w:w="2160"/>
          </w:tcPr>
          <w:p>
            <w:r>
              <w:t>0.335</w:t>
            </w:r>
          </w:p>
        </w:tc>
      </w:tr>
      <w:tr>
        <w:tc>
          <w:tcPr>
            <w:tcW w:type="dxa" w:w="2160"/>
          </w:tcPr>
          <w:p>
            <w:r>
              <w:t>Cap02:L93</w:t>
              <w:br/>
              <w:t>nelson2020computational</w:t>
            </w:r>
          </w:p>
        </w:tc>
        <w:tc>
          <w:tcPr>
            <w:tcW w:type="dxa" w:w="2160"/>
          </w:tcPr>
          <w:p>
            <w:r>
              <w:t>El descubrimiento automático de temas identifica la estructura temática de un corpus sin imponer categorías previas . El método agrupa los fragmentos por similitud semántica y luego identifica las palabras más representativas de cada grupo. En esta i</w:t>
            </w:r>
          </w:p>
        </w:tc>
        <w:tc>
          <w:tcPr>
            <w:tcW w:type="dxa" w:w="2160"/>
          </w:tcPr>
          <w:p>
            <w:r>
              <w:t>which, instead of simple word frequencies, use the co-occurrence of words in doc- uments to uncover themes within a corpus. These methods, called unsuper- vised text classification, simultaneously estimate themes or topics within a corpus and classify individual documents, or portions of documents, ...</w:t>
            </w:r>
          </w:p>
        </w:tc>
        <w:tc>
          <w:tcPr>
            <w:tcW w:type="dxa" w:w="2160"/>
          </w:tcPr>
          <w:p>
            <w:r>
              <w:t>0.273</w:t>
            </w:r>
          </w:p>
        </w:tc>
      </w:tr>
      <w:tr>
        <w:tc>
          <w:tcPr>
            <w:tcW w:type="dxa" w:w="2160"/>
          </w:tcPr>
          <w:p>
            <w:r>
              <w:t>Cap02:L95</w:t>
              <w:br/>
              <w:t>nosek2018preregistration</w:t>
            </w:r>
          </w:p>
        </w:tc>
        <w:tc>
          <w:tcPr>
            <w:tcW w:type="dxa" w:w="2160"/>
          </w:tcPr>
          <w:p>
            <w:r>
              <w:t>Para aislar el efecto del idioma se implementan tres estrategias: una línea base monolingüe que traduce todos los documentos al inglés y recalcula la similitud, la comparación de similitudes entre países del mismo idioma versus países de idiomas dife</w:t>
            </w:r>
          </w:p>
        </w:tc>
        <w:tc>
          <w:tcPr>
            <w:tcW w:type="dxa" w:w="2160"/>
          </w:tcPr>
          <w:p>
            <w:r>
              <w:t>es into new problems with very little idea of what direction it will go and the outcomes they observe send them in new directions. It is common to begin a research program with few predictions. It is less common for research to remain entirely exploratory through a sequence of studies and authoring ...</w:t>
            </w:r>
          </w:p>
        </w:tc>
        <w:tc>
          <w:tcPr>
            <w:tcW w:type="dxa" w:w="2160"/>
          </w:tcPr>
          <w:p>
            <w:r>
              <w:t>0.522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