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</w:t>
      </w:r>
    </w:p>
    <w:p>
      <w:r>
        <w:t>Capítulo 1</w:t>
      </w:r>
    </w:p>
    <w:p>
      <w:r>
        <w:t>Planteamiento del Problema</w:t>
      </w:r>
    </w:p>
    <w:p>
      <w:r>
        <w:t>1.1</w:t>
        <w:br/>
        <w:t>Descripción de la Problemática</w:t>
      </w:r>
    </w:p>
    <w:p>
      <w:r>
        <w:t>En 2017, China publicó el primer plan nacional que vinculó la inteligencia artificial con</w:t>
        <w:br/>
        <w:t>la reforma educativa. Para 2023, al menos 67 países habían desarrollado o estaban desarrollando</w:t>
        <w:br/>
        <w:t>estrategias nacionales de IA (UNESCO, 2023). En la mayoría de ellas, sin embargo, la educación</w:t>
        <w:br/>
        <w:t>figuraba como un componente de desarrollo de talento para la competitividad económica, no co-</w:t>
        <w:br/>
        <w:t>mo un objeto de política educativa en sí mismo. La diferencia es relevante: una cosa es formar</w:t>
        <w:br/>
        <w:t>ingenieros de IA y otra es preparar a todos los estudiantes para vivir en un mundo transformado</w:t>
        <w:br/>
        <w:t>por ella.</w:t>
      </w:r>
    </w:p>
    <w:p>
      <w:r>
        <w:t>Thierer (2018) describió esta situación como el pacing problem: la tecnología evoluciona</w:t>
        <w:br/>
        <w:t>de forma exponencial mientras que la regulación avanza de manera lineal. En el caso de la IA</w:t>
        <w:br/>
        <w:t>en educación, la brecha es particularmente aguda. Hacia 2022, solo unos 15 países habían de-</w:t>
        <w:br/>
        <w:t>sarrollado currículos de IA para educación básica avalados por sus gobiernos, y apenas siete re-</w:t>
        <w:br/>
        <w:t>portaban marcos de capacitación en IA para profesores. Miao, Holmes, Huang, y Zhang (2021)</w:t>
        <w:br/>
        <w:t>sintetizaron el panorama en cinco brechas de preparación institucional: ausencia de marcos reg-</w:t>
        <w:br/>
        <w:t>ulatorios, insuficiencia en la formación docente, falta de estándares curriculares, inequidades en</w:t>
        <w:br/>
        <w:t>infraestructura digital y carencia de directrices éticas.</w:t>
        <w:br/>
        <w:t>Lo que esto significa en la práctica es concreto. Una profesora en Bogotá y un profesor en</w:t>
        <w:br/>
        <w:t>Berlín enfrentan hoy estudiantes que usan herramientas de IA generativa, pero las políticas que</w:t>
        <w:br/>
        <w:t>deberían orientar su trabajo pedagógico fueron redactadas bajo supuestos radicalmente distintos,</w:t>
        <w:br/>
        <w:t>si es que fueron redactadas.</w:t>
        <w:br/>
        <w:t>Siete países ilustran la diversidad de las respuestas. Algunos adoptaron planes estratégi-</w:t>
        <w:br/>
        <w:t>cos con componentes educativos, como Canadá y Australia. Otros, como Colombia y Sudáfrica,</w:t>
        <w:br/>
        <w:t>abordaron la IA en educación dentro de marcos más amplios de desarrollo nacional. China con-</w:t>
        <w:br/>
        <w:t>stituye un caso aparte por su iteración sostenida, con siete documentos publicados entre 2017</w:t>
        <w:br/>
        <w:t>y 2025. Alemania actualizó una estrategia existente y Estados Unidos optó por la acción ejec-</w:t>
        <w:br/>
        <w:t>utiva. En conjunto, estos casos abarcan cuatro familias lingüísticas y contextos que van desde</w:t>
        <w:br/>
        <w:t>economías avanzadas hasta países del sur global.</w:t>
        <w:br/>
        <w:t>Cuando documentos de política de diferentes países utilizan vocabulario similar, surge</w:t>
        <w:br/>
        <w:t>una pregunta que la lectura individual no puede resolver: ¿la similitud refleja convergencia temáti-</w:t>
      </w:r>
    </w:p>
    <w:p>
      <w:r>
        <w:t>1</w:t>
      </w:r>
    </w:p>
    <w:p>
      <w:r>
        <w:t>2</w:t>
      </w:r>
    </w:p>
    <w:p>
      <w:r>
        <w:t>ca genuina, influencia compartida de un tercer actor, o convergencia funcional independiente?</w:t>
        <w:br/>
        <w:t>Steiner-Khamsi (2014) distinguió tres explicaciones posibles. La primera es el préstamo genuino,</w:t>
        <w:br/>
        <w:t>donde un país adopta deliberadamente la política de otro. La segunda es la influencia común, en</w:t>
        <w:br/>
        <w:t>la que marcos como el Consenso de Beijing funcionan como plantillas para múltiples países. La</w:t>
        <w:br/>
        <w:t>tercera es la convergencia funcional, que ocurre cuando países sin contacto entre sí llegan a solu-</w:t>
        <w:br/>
        <w:t>ciones similares porque enfrentan problemas parecidos. Determinar cuál mecanismo opera en</w:t>
        <w:br/>
        <w:t>cada caso requiere un análisis que supere la lectura cualitativa.</w:t>
        <w:br/>
        <w:t>La ciencia política comenzó a tratar los textos como datos cuantificables a principios de</w:t>
        <w:br/>
        <w:t>la década de 2010 (Grimmer y Stewart, 2013). Desde entonces, se han aplicado representaciones</w:t>
        <w:br/>
        <w:t>semánticas para medir alineación entre documentos de política. La educación comparada no ha</w:t>
        <w:br/>
        <w:t>seguido esa trayectoria. A esto se suma un problema adicional: los modelos de análisis semánti-</w:t>
        <w:br/>
        <w:t>co multilingüe capturan tanto el contenido como la estructura lingüística de los textos, de modo</w:t>
        <w:br/>
        <w:t>que dos documentos en el mismo idioma pueden obtener puntuaciones de similitud infladas re-</w:t>
        <w:br/>
        <w:t>specto a documentos temáticamente afines pero lingüísticamente distantes. Este sesgo rara vez se</w:t>
        <w:br/>
        <w:t>cuantifica.</w:t>
      </w:r>
    </w:p>
    <w:p>
      <w:r>
        <w:t>1.2</w:t>
        <w:br/>
        <w:t>Propósito</w:t>
      </w:r>
    </w:p>
    <w:p>
      <w:r>
        <w:t>El propósito de esta investigación es comprender cómo siete países de distintas regiones</w:t>
        <w:br/>
        <w:t>del mundo abordan la educación en inteligencia artificial en sus políticas públicas. El estudio re-</w:t>
        <w:br/>
        <w:t>sponde a la necesidad de complementar los marcos comparativos existentes con un análisis ex-</w:t>
        <w:br/>
        <w:t>ploratorio capaz de descubrir temas que esos marcos no anticipan.</w:t>
      </w:r>
    </w:p>
    <w:p>
      <w:r>
        <w:t>1.3</w:t>
        <w:br/>
        <w:t>Preguntas de Investigación</w:t>
      </w:r>
    </w:p>
    <w:p>
      <w:r>
        <w:t>La pregunta central es: ¿qué temas caracterizan las políticas de educación en inteligencia</w:t>
        <w:br/>
        <w:t>artificial de siete países, y en qué convergen y divergen entre sí?</w:t>
        <w:br/>
        <w:t>De esta pregunta se derivan cuatro preguntas asociadas. Interesa saber qué agrupamientos</w:t>
        <w:br/>
        <w:t>temáticos emergen cuando se analizan los documentos de los siete países mediante procesamien-</w:t>
        <w:br/>
        <w:t>to de lenguaje natural. También se pregunta qué temas latentes aparecen que marcos existentes</w:t>
        <w:br/>
        <w:t>como el Consenso de Beijing (UNESCO, 2019) no capturan. Para los pares de países con alta</w:t>
        <w:br/>
        <w:t>similitud, se examina si comparten pasajes trazables a documentos fuente comunes. Por último,</w:t>
        <w:br/>
        <w:t>se aborda cómo evolucionaron las políticas de China entre 2017 y 2025.</w:t>
      </w:r>
    </w:p>
    <w:p>
      <w:r>
        <w:t>3</w:t>
      </w:r>
    </w:p>
    <w:p>
      <w:r>
        <w:t>1.4</w:t>
        <w:br/>
        <w:t>Objetivos</w:t>
      </w:r>
    </w:p>
    <w:p>
      <w:r>
        <w:t>El objetivo general es comparar las políticas de educación en inteligencia artificial de si-</w:t>
        <w:br/>
        <w:t>ete países mediante procesamiento de lenguaje natural para identificar los temas que las caracter-</w:t>
        <w:br/>
        <w:t>izan, explorar sus convergencias y divergencias, y verificar que las similitudes detectadas no sean</w:t>
        <w:br/>
        <w:t>un artefacto del idioma de los documentos.</w:t>
        <w:br/>
        <w:t>Los objetivos específicos se organizan en torno a la secuencia analítica. Se parte de la</w:t>
        <w:br/>
        <w:t>construcción de un corpus documental sistematizado de los siete países, que incluye siete doc-</w:t>
        <w:br/>
        <w:t>umentos longitudinales de China. Sobre este corpus se identifican primero los temas que emergen</w:t>
        <w:br/>
        <w:t>sin imponer categorías previas (Nelson, 2020). Después se evalúa cada documento en nueve di-</w:t>
        <w:br/>
        <w:t>mensiones derivadas de marcos de la OCDE (OECD, 2021) y UNESCO (UNESCO, 2019). El</w:t>
        <w:br/>
        <w:t>diseño contempla también verificar si el idioma de los documentos infla las similitudes obser-</w:t>
        <w:br/>
        <w:t>vadas, contrastar los temas emergentes con las dimensiones del marco analítico, y trazar la evolu-</w:t>
        <w:br/>
        <w:t>ción de las políticas de China entre 2017 y 2025.</w:t>
      </w:r>
    </w:p>
    <w:p>
      <w:r>
        <w:t>1.5</w:t>
        <w:br/>
        <w:t>Justificación</w:t>
      </w:r>
    </w:p>
    <w:p>
      <w:r>
        <w:t>Esta investigación ofrece un análisis exploratorio de las políticas de educación en IA de</w:t>
        <w:br/>
        <w:t>siete países. La educación comparada tiene una larga tradición de análisis mediante similitudes</w:t>
        <w:br/>
        <w:t>y diferencias (Milosevi´c y Maksimovi´c, 2020), y las herramientas de procesamiento de lenguaje</w:t>
        <w:br/>
        <w:t>natural permiten extenderla a corpus multilingües.</w:t>
        <w:br/>
        <w:t>Los siete países representan enfoques diversos ante un desafío compartido, lo que hace</w:t>
        <w:br/>
        <w:t>potencialmente observables los mecanismos de difusión descritos por Shipan y Volden (2012)</w:t>
        <w:br/>
        <w:t>mediante el trazado de pasajes compartidos entre documentos.</w:t>
        <w:br/>
        <w:t>Desde lo metodológico, la contribución reside en dos elementos ausentes en la educación</w:t>
        <w:br/>
        <w:t>comparada: la secuencia que primero descubre temas y luego los contrasta con un marco pre-</w:t>
        <w:br/>
        <w:t>definido, y la verificación de que el idioma no distorsione las similitudes observadas.</w:t>
      </w:r>
    </w:p>
    <w:p>
      <w:r>
        <w:t>1.6</w:t>
        <w:br/>
        <w:t>Alcances y Limitaciones</w:t>
      </w:r>
    </w:p>
    <w:p>
      <w:r>
        <w:t>El alcance de este estudio exploratorio se limita a los documentos de política de acce-</w:t>
        <w:br/>
        <w:t>so público de los siete países seleccionados, publicados entre 2017 y 2025 en inglés, español,</w:t>
        <w:br/>
        <w:t>alemán y chino. La investigación examina el contenido de los documentos, es decir, qué dicen,</w:t>
        <w:br/>
        <w:t>qué priorizan y qué omiten. No examina el proceso de elaboración ni la implementación (Rizvi y</w:t>
        <w:br/>
        <w:t>Lingard, 2010).</w:t>
        <w:br/>
        <w:t>Las limitaciones principales tienen que ver con la heterogeneidad del corpus: los docu-</w:t>
      </w:r>
    </w:p>
    <w:p>
      <w:r>
        <w:t>4</w:t>
      </w:r>
    </w:p>
    <w:p>
      <w:r>
        <w:t>mentos varían en género discursivo, estatus legal y etapa dentro del ciclo de políticas (Howlett</w:t>
        <w:br/>
        <w:t>y Ramesh, 2003). El control lingüístico atenúa pero no elimina el sesgo idiomático, y los docu-</w:t>
        <w:br/>
        <w:t>mentos de China se analizan en traducción al inglés. La muestra de siete casos es intencional y no</w:t>
        <w:br/>
        <w:t>permite generalización estadística.</w:t>
      </w:r>
    </w:p>
    <w:p>
      <w:r>
        <w:t>1.7</w:t>
        <w:br/>
        <w:t>Relevancia para México</w:t>
      </w:r>
    </w:p>
    <w:p>
      <w:r>
        <w:t>México carece de un marco integral de IA en educación. Las iniciativas existentes, como</w:t>
        <w:br/>
        <w:t>el Centro Público de Formación en IA (Gobierno de México, 2025) y las líneas de acción de la</w:t>
        <w:br/>
        <w:t>SEP para IA generativa (Secretaría de Educación Pública, 2026), constituyen pasos iniciales pero</w:t>
        <w:br/>
        <w:t>no una política articulada. Comprender qué han hecho los siete países de este estudio ofrece una</w:t>
        <w:br/>
        <w:t>base comparativa concreta para informar las decisiones que están en proceso.</w:t>
      </w:r>
    </w:p>
    <w:p>
      <w:r>
        <w:t>Capítulo 2</w:t>
      </w:r>
    </w:p>
    <w:p>
      <w:r>
        <w:t>Marco Teórico y Contextual</w:t>
      </w:r>
    </w:p>
    <w:p>
      <w:r>
        <w:t>Este capítulo revisa las bases conceptuales de la investigación: las políticas públicas ed-</w:t>
        <w:br/>
        <w:t>ucativas, la transferencia de políticas entre países, la inteligencia artificial en educación, los mar-</w:t>
        <w:br/>
        <w:t>cos normativos de organismos internacionales, la educación comparada y las herramientas de</w:t>
        <w:br/>
        <w:t>procesamiento de lenguaje natural que se emplean en el análisis. Al final del capítulo se presenta</w:t>
        <w:br/>
        <w:t>el marco analítico de nueve dimensiones que estructura la comparación.</w:t>
      </w:r>
    </w:p>
    <w:p>
      <w:r>
        <w:t>2.1</w:t>
        <w:br/>
        <w:t>Políticas Públicas Educativas</w:t>
      </w:r>
    </w:p>
    <w:p>
      <w:r>
        <w:t>Rizvi y Lingard (2010) definen las políticas educativas como el conjunto de directrices,</w:t>
        <w:br/>
        <w:t>regulaciones y asignaciones de recursos mediante las cuales los gobiernos organizan y orientan</w:t>
        <w:br/>
        <w:t>los sistemas de enseñanza. A diferencia de otros ámbitos de la política social, las políticas educa-</w:t>
        <w:br/>
        <w:t>tivas operan como instrumentos de formación de capital humano, mecanismos de cohesión social</w:t>
        <w:br/>
        <w:t>y vehículos de transmisión cultural al mismo tiempo. Un rasgo recurrente de las políticas de IA</w:t>
        <w:br/>
        <w:t>en educación es su carácter programático más que legislativo: la mayoría de los documentos anal-</w:t>
        <w:br/>
        <w:t>izados son estrategias, planes de acción o lineamientos que expresan intenciones gubernamen-</w:t>
        <w:br/>
        <w:t>tales sin contar con mecanismos vinculantes (Fatima, Desouza, y Dawson, 2020).</w:t>
        <w:br/>
        <w:t>Los países del corpus se encuentran en etapas distintas del proceso de políticas. Howlett</w:t>
        <w:br/>
        <w:t>y Ramesh (2003) describieron fases sucesivas: establecimiento de agenda, formulación, adop-</w:t>
        <w:br/>
        <w:t>ción, implementación y evaluación. China, con siete documentos entre 2017 y 2025, se encuentra</w:t>
        <w:br/>
        <w:t>en fases avanzadas de evaluación. Sudáfrica, con un informe de comisión, aún se encuentra en</w:t>
        <w:br/>
        <w:t>establecimiento de agenda. Esta asimetría exige cautela al comparar documentos que capturan</w:t>
        <w:br/>
        <w:t>momentos distintos del proceso.</w:t>
      </w:r>
    </w:p>
    <w:p>
      <w:r>
        <w:t>2.2</w:t>
        <w:br/>
        <w:t>Transferencia y Difusión de Políticas</w:t>
      </w:r>
    </w:p>
    <w:p>
      <w:r>
        <w:t>La globalización ha intensificado los flujos de ideas sobre política educativa entre países.</w:t>
        <w:br/>
        <w:t>Dolowitz y Marsh (2000) propusieron un marco para entender la transferencia como un proceso</w:t>
        <w:br/>
        <w:t>en el que conocimientos de un sistema político se usan para desarrollar políticas en otro. En el</w:t>
        <w:br/>
        <w:t>campo educativo, esta transferencia rara vez es una copia literal. Steiner-Khamsi (2014) distingue</w:t>
        <w:br/>
        <w:t>entre tres explicaciones para la similitud entre políticas: el préstamo genuino, la influencia común</w:t>
      </w:r>
    </w:p>
    <w:p>
      <w:r>
        <w:t>5</w:t>
      </w:r>
    </w:p>
    <w:p>
      <w:r>
        <w:t>6</w:t>
      </w:r>
    </w:p>
    <w:p>
      <w:r>
        <w:t>de un tercer actor y la convergencia funcional. A su vez, Shipan y Volden (2012) identificaron</w:t>
        <w:br/>
        <w:t>cinco mecanismos de difusión: aprendizaje, competencia, emulación, coerción y contagio social.</w:t>
        <w:br/>
        <w:t>Estos mecanismos no son excluyentes.</w:t>
        <w:br/>
        <w:t>Cuando el análisis identifica alta similitud entre los documentos de dos países, estas expli-</w:t>
        <w:br/>
        <w:t>caciones deben evaluarse. Dos países de familias lingüísticas diferentes que muestran alta simil-</w:t>
        <w:br/>
        <w:t>itud y ambos citan el Consenso de Beijing sugieren influencia común como hipótesis más parsi-</w:t>
        <w:br/>
        <w:t>moniosa. En cambio, la alta similitud entre países angloparlantes obliga a considerar también el</w:t>
        <w:br/>
        <w:t>componente lingüístico. El control lingüístico que se describe en el Capítulo ?? permite descom-</w:t>
        <w:br/>
        <w:t>poner estas fuentes.</w:t>
      </w:r>
    </w:p>
    <w:p>
      <w:r>
        <w:t>2.3</w:t>
        <w:br/>
        <w:t>Inteligencia Artificial en Educación</w:t>
      </w:r>
    </w:p>
    <w:p>
      <w:r>
        <w:t>El concepto de alfabetización en IA ha emergido como un marco para definir qué debe</w:t>
        <w:br/>
        <w:t>saber un ciudadano sobre inteligencia artificial. Long y Magerko (2020) la definieron como el</w:t>
        <w:br/>
        <w:t>conjunto de competencias que permiten evaluar críticamente las tecnologías de IA, comunicarse</w:t>
        <w:br/>
        <w:t>con sistemas de IA y usarla como herramienta. Ng, Leung, Chu, y Qiao (2021) ampliaron la con-</w:t>
        <w:br/>
        <w:t>ceptualización e identificaron cuatro dimensiones: conocer la IA, usarla, evaluarla y abordar sus</w:t>
        <w:br/>
        <w:t>implicaciones éticas.</w:t>
        <w:br/>
        <w:t>Existe una distinción relevante entre la IA como contenido de aprendizaje y la IA como</w:t>
        <w:br/>
        <w:t>herramienta pedagógica (Holmes, Bialik, y Fadel, 2019). En el primer caso los estudiantes apren-</w:t>
        <w:br/>
        <w:t>den sobre qué es la IA y cómo funciona. En el segundo, los sistemas de IA apoyan procesos de</w:t>
        <w:br/>
        <w:t>enseñanza mediante tutores inteligentes o plataformas adaptativas. Una tercera dimensión, pre-</w:t>
        <w:br/>
        <w:t>sente en las políticas más recientes, es la IA como objeto de regulación dentro del espacio educa-</w:t>
        <w:br/>
        <w:t>tivo, donde la irrupción de los modelos generativos obligó a muchos sistemas a definir reglas de</w:t>
        <w:br/>
        <w:t>uso antes de poder incorporarla (UNESCO, 2023). Estas distinciones se conectan con el marco</w:t>
        <w:br/>
        <w:t>TPACK (Mishra y Koehler, 2006), que describe el conocimiento docente como la intersección de</w:t>
        <w:br/>
        <w:t>contenido disciplinar, pedagogía y tecnología.</w:t>
      </w:r>
    </w:p>
    <w:p>
      <w:r>
        <w:t>2.4</w:t>
        <w:br/>
        <w:t>Marcos Internacionales</w:t>
      </w:r>
    </w:p>
    <w:p>
      <w:r>
        <w:t>Los organismos internacionales han configurado el discurso global sobre IA y educación.</w:t>
        <w:br/>
        <w:t>Sus marcos no son vinculantes, pero establecen vocabularios y prioridades que influyen en las</w:t>
        <w:br/>
        <w:t>estrategias nacionales. En esta investigación son relevantes como posibles fuentes de difusión.</w:t>
        <w:br/>
        <w:t>La UNESCO fue pionera con el Consenso de Beijing de 2019, que estableció cinco áreas</w:t>
        <w:br/>
        <w:t>prioritarias (UNESCO, 2019). Después publicó una recomendación sobre ética de la IA (UN-</w:t>
        <w:br/>
        <w:t>ESCO, 2021) y una guía para IA generativa en educación (UNESCO, 2023). Miao y cols. (2021)</w:t>
      </w:r>
    </w:p>
    <w:p>
      <w:r>
        <w:t>7</w:t>
      </w:r>
    </w:p>
    <w:p>
      <w:r>
        <w:t>tradujeron estos principios en recomendaciones concretas para sistemas educativos.</w:t>
        <w:br/>
        <w:t>La OCDE, por su parte, adoptó en 2019 sus Principios sobre IA (OECD, 2019) y desar-</w:t>
        <w:br/>
        <w:t>rolló el Education Policy Outlook (OECD, 2021), un marco estandarizado que informa las dimen-</w:t>
        <w:br/>
        <w:t>siones del análisis de esta investigación. El Foro Económico Mundial ha enmarcado la educación</w:t>
        <w:br/>
        <w:t>en IA dentro de una lógica de competitividad (World Economic Forum, 2020), en tensión con el</w:t>
        <w:br/>
        <w:t>enfoque de derechos y equidad que promueve la UNESCO.</w:t>
      </w:r>
    </w:p>
    <w:p>
      <w:r>
        <w:t>2.5</w:t>
        <w:br/>
        <w:t>Educación Comparada</w:t>
      </w:r>
    </w:p>
    <w:p>
      <w:r>
        <w:t>El marco tridimensional de Bray y Thomas (1995) cruza niveles geográficos, grupos de-</w:t>
        <w:br/>
        <w:t>mográficos y aspectos de la educación. La presente investigación opera en el nivel nacional, abar-</w:t>
        <w:br/>
        <w:t>ca siete países y se enfoca en las políticas de IA en educación. Las nueve dimensiones de com-</w:t>
        <w:br/>
        <w:t>paración que se presentan más adelante desagregan este aspecto en componentes específicos.</w:t>
        <w:br/>
        <w:t>Una distinción útil para este trabajo es la que propusieron Rizvi y Lingard (2010) entre</w:t>
        <w:br/>
        <w:t>política como texto (lo que el documento dice), como discurso (cómo lo enmarca) y como efecto</w:t>
        <w:br/>
        <w:t>(qué ocurre cuando se implementa). El análisis opera en los planos de texto y discurso. Las di-</w:t>
        <w:br/>
        <w:t>mensiones de proceso y resultados capturan lo que los documentos dicen sobre procesos y metas,</w:t>
        <w:br/>
        <w:t>no lo que ocurre en la práctica.</w:t>
        <w:br/>
        <w:t>Los métodos de análisis comparativo en este campo han sido predominantemente cuali-</w:t>
        <w:br/>
        <w:t>tativos (Bray, Adamson, y Mason, 2014). El paradigma de análisis computacional de textos, sis-</w:t>
        <w:br/>
        <w:t>tematizado por Grimmer, Roberts, y Stewart (2022), establece que los métodos computacionales</w:t>
        <w:br/>
        <w:t>aumentan la capacidad del investigador sin reemplazarla. La educación comparada ha sido lenta</w:t>
        <w:br/>
        <w:t>en incorporar estas herramientas, y esta investigación aporta en esa dirección.</w:t>
      </w:r>
    </w:p>
    <w:p>
      <w:r>
        <w:t>2.6</w:t>
        <w:br/>
        <w:t>Marco Analítico</w:t>
      </w:r>
    </w:p>
    <w:p>
      <w:r>
        <w:t>Las nueve dimensiones que estructuran la comparación se derivan de marcos establecidos</w:t>
        <w:br/>
        <w:t>mediante una cadena explícita: marco teórico, dimensión nombrada, párrafo ancla, representación</w:t>
        <w:br/>
        <w:t>numérica del significado. El Education Policy Outlook de la OCDE (OECD, 2021) proporciona</w:t>
        <w:br/>
        <w:t>las categorías generales. El Consenso de Beijing (UNESCO, 2019) y Miao y cols. (2021) pro-</w:t>
        <w:br/>
        <w:t>porcionan las específicas para IA en educación. Los mecanismos de difusión de Shipan y Volden</w:t>
        <w:br/>
        <w:t>(2012) y el cubo de Bray y Thomas (1995) informan las dimensiones de proceso.</w:t>
        <w:br/>
        <w:t>Las dimensiones se organizan en tres niveles. El primero agrupa las de contenido, que</w:t>
        <w:br/>
        <w:t>reflejan los temas que las políticas abordan: currículo (qué se enseña sobre IA, en qué niveles</w:t>
        <w:br/>
        <w:t>y con qué enfoque), formación docente (programas de capacitación y competencias requeridas</w:t>
        <w:br/>
        <w:t>para trabajar con IA), infraestructura (conectividad, equipamiento, plataformas) e investigación</w:t>
      </w:r>
    </w:p>
    <w:p>
      <w:r>
        <w:t>8</w:t>
      </w:r>
    </w:p>
    <w:p>
      <w:r>
        <w:t>(centros de I+D, financiamiento, vínculos universidad-industria).</w:t>
        <w:br/>
        <w:t>En el nivel de proceso se ubican dos dimensiones que describen cómo se formulan las</w:t>
        <w:br/>
        <w:t>políticas: gobernanza (qué ministerio lidera y cómo se coordinan los niveles de gobierno) y par-</w:t>
        <w:br/>
        <w:t>ticipación de actores (mecanismos de consulta pública, alianzas público-privadas, participación</w:t>
        <w:br/>
        <w:t>de sociedad civil y sindicatos).</w:t>
        <w:br/>
        <w:t>El tercer nivel reúne las dimensiones orientadas a resultados: ética y rendición de cuentas</w:t>
        <w:br/>
        <w:t>(transparencia, privacidad, sesgo algorítmico), equidad (brechas digitales, poblaciones vulnera-</w:t>
        <w:br/>
        <w:t>bles) y metas y evaluación (objetivos cuantificables, indicadores, plazos).</w:t>
        <w:br/>
        <w:t>La Tabla 2.1 resume las nueve dimensiones.</w:t>
      </w:r>
    </w:p>
    <w:p>
      <w:r>
        <w:t>Tabla 2.1: Nueve dimensiones del marco analítico</w:t>
      </w:r>
    </w:p>
    <w:p>
      <w:r>
        <w:t>Dimensión</w:t>
        <w:br/>
        <w:t>Nivel</w:t>
        <w:br/>
        <w:t>Fuente</w:t>
        <w:br/>
        <w:t>Captura en el texto</w:t>
        <w:br/>
        <w:t>Currículo</w:t>
        <w:br/>
        <w:t>Contenido</w:t>
        <w:br/>
        <w:t>OECD EPO; Beijing</w:t>
        <w:br/>
        <w:t>Qué y cómo se enseña sobre IA</w:t>
        <w:br/>
        <w:t>Formación docente</w:t>
        <w:br/>
        <w:t>Contenido</w:t>
        <w:br/>
        <w:t>OECD EPO; Beijing</w:t>
        <w:br/>
        <w:t>Capacitación y competencias docentes</w:t>
        <w:br/>
        <w:t>Infraestructura</w:t>
        <w:br/>
        <w:t>Contenido</w:t>
        <w:br/>
        <w:t>OECD EPO; Beijing</w:t>
        <w:br/>
        <w:t>Conectividad, equipamiento, plataformas</w:t>
        <w:br/>
        <w:t>Investigación</w:t>
        <w:br/>
        <w:t>Contenido</w:t>
        <w:br/>
        <w:t>Beijing área 5</w:t>
        <w:br/>
        <w:t>I+D, vínculos universidad-industria</w:t>
        <w:br/>
        <w:t>Gobernanza</w:t>
        <w:br/>
        <w:t>Proceso</w:t>
        <w:br/>
        <w:t>OECD EPO; Howlett</w:t>
        <w:br/>
        <w:t>Liderazgo institucional, coordinación</w:t>
        <w:br/>
        <w:t>Participación</w:t>
        <w:br/>
        <w:t>Proceso</w:t>
        <w:br/>
        <w:t>Bray &amp; Thomas; Shipan</w:t>
        <w:br/>
        <w:t>Consulta pública, alianzas, actores</w:t>
        <w:br/>
        <w:t>Ética</w:t>
        <w:br/>
        <w:t>Resultados</w:t>
        <w:br/>
        <w:t>UNESCO Ethics; OECD AI</w:t>
        <w:br/>
        <w:t>Transparencia, privacidad, auditoría</w:t>
        <w:br/>
        <w:t>Equidad</w:t>
        <w:br/>
        <w:t>Resultados</w:t>
        <w:br/>
        <w:t>OECD EPO; Beijing</w:t>
        <w:br/>
        <w:t>Brechas digitales, poblaciones vulnerables</w:t>
        <w:br/>
        <w:t>Metas</w:t>
        <w:br/>
        <w:t>Resultados</w:t>
        <w:br/>
        <w:t>Howlett; OECD EPO</w:t>
        <w:br/>
        <w:t>Indicadores, plazos, revisión</w:t>
      </w:r>
    </w:p>
    <w:p>
      <w:r>
        <w:t>Cada dimensión se operacionaliza mediante un párrafo ancla de 3 a 5 oraciones que de-</w:t>
        <w:br/>
        <w:t>scribe qué se observa cuando un documento de política aborda esa dimensión. Un modelo de</w:t>
        <w:br/>
        <w:t>análisis semántico multilingüe convierte cada párrafo en una representación numérica (Reimers y</w:t>
        <w:br/>
        <w:t>Gurevych, 2019). La afinidad temática entre esta representación y cada segmento del corpus pro-</w:t>
        <w:br/>
        <w:t>duce una puntuación por dimensión. Los párrafos ancla se registran antes de ejecutar el análisis</w:t>
        <w:br/>
        <w:t>supervisado como mecanismo de pre-registro (Nosek, Ebersole, DeHaven, y Mellor, 2018). Los</w:t>
        <w:br/>
        <w:t>procedimientos se detallan en el Capítulo ??.</w:t>
      </w:r>
    </w:p>
    <w:p>
      <w:r>
        <w:t>2.7</w:t>
        <w:br/>
        <w:t>Herramientas de Procesamiento de Lenguaje Natural</w:t>
      </w:r>
    </w:p>
    <w:p>
      <w:r>
        <w:t>El análisis computacional de textos permite operar sobre un corpus multilingüe a una</w:t>
        <w:br/>
        <w:t>escala que la lectura humana individual no alcanza. Grimmer y Stewart (2013) establecieron el</w:t>
        <w:br/>
        <w:t>principio rector: los métodos computacionales amplifican la capacidad del investigador pero no</w:t>
        <w:br/>
        <w:t>reemplazan su juicio.</w:t>
        <w:br/>
        <w:t>La técnica central es la representación semántica de textos: cada fragmento de un doc-</w:t>
        <w:br/>
        <w:t>umento se convierte en una representación numérica que captura su significado. Un modelo de</w:t>
        <w:br/>
        <w:t>análisis multilingüe genera estas representaciones de manera que textos con significado similar</w:t>
      </w:r>
    </w:p>
    <w:p>
      <w:r>
        <w:t>9</w:t>
      </w:r>
    </w:p>
    <w:p>
      <w:r>
        <w:t>quedan próximos, independientemente del idioma en que estén escritos (Reimers y Gurevych,</w:t>
        <w:br/>
        <w:t>2019). Esta capacidad multilingüe es la que permite comparar documentos originalmente escritos</w:t>
        <w:br/>
        <w:t>en inglés, español, alemán y chino dentro de un mismo marco de análisis. A pesar de esto, la sep-</w:t>
        <w:br/>
        <w:t>aración entre idiomas no es perfecta (Conneau y cols., 2020), lo que motiva el control lingüístico.</w:t>
        <w:br/>
        <w:t>El descubrimiento automático de temas identifica la estructura temática de un corpus sin</w:t>
        <w:br/>
        <w:t>imponer categorías previas (Grootendorst, 2022). El método agrupa los fragmentos por simili-</w:t>
        <w:br/>
        <w:t>tud semántica y luego identifica las palabras más representativas de cada grupo. En esta investi-</w:t>
        <w:br/>
        <w:t>gación, el descubrimiento de temas se ejecuta antes de aplicar el marco de nueve dimensiones,</w:t>
        <w:br/>
        <w:t>siguiendo el principio de que primero se descubren patrones y luego se comparan con las cate-</w:t>
        <w:br/>
        <w:t>gorías del investigador (Nelson, 2020). Los temas que no corresponden a ninguna dimensión son</w:t>
        <w:br/>
        <w:t>puntos ciegos del marco. Las dimensiones sin correspondencia son estructura impuesta. Ambas</w:t>
        <w:br/>
        <w:t>divergencias son hallazgos, no defectos del diseño.</w:t>
        <w:br/>
        <w:t>Para aislar el efecto del idioma se implementan tres estrategias: una línea base mono-</w:t>
        <w:br/>
        <w:t>lingüe que traduce todos los documentos al inglés y recalcula la similitud, la comparación de</w:t>
        <w:br/>
        <w:t>similitudes entre países del mismo idioma versus países de idiomas diferentes, y un test con un</w:t>
        <w:br/>
        <w:t>documento disponible en múltiples idiomas. Un problema recurrente en el análisis computacional</w:t>
        <w:br/>
        <w:t>de textos es la calibración post-hoc de las categorías, donde el investigador define las categorías</w:t>
        <w:br/>
        <w:t>después de leer el corpus y los resultados simplemente confirman lo que ya encontró. La solu-</w:t>
        <w:br/>
        <w:t>ción adoptada es el pre-registro de las dimensiones y sus párrafos ancla antes del análisis (Nosek</w:t>
        <w:br/>
        <w:t>y cols., 2018). La validación cruzada entre el análisis no supervisado y el supervisado permite</w:t>
        <w:br/>
        <w:t>identificar tanto lo que el marco captura como lo que omite.</w:t>
      </w:r>
    </w:p>
    <w:p>
      <w:r>
        <w:t>Referencias</w:t>
      </w:r>
    </w:p>
    <w:p>
      <w:r>
        <w:t>Bray, M., Adamson, B., y Mason, M. (2014). Comparative education research: Approaches and</w:t>
        <w:br/>
        <w:t>methods (2nd ed.). Hong Kong: Springer/CERC.</w:t>
        <w:br/>
        <w:t>Bray, M., y Thomas, R. M. (1995). Levels of comparison in educational studies: Different in-</w:t>
        <w:br/>
        <w:t>sights from different literatures and the value of multilevel analyses. Harvard Educational</w:t>
        <w:br/>
        <w:t>Review, 65(3), 472–490. doi: 10.17763/haer.65.3.g3228437224v4877</w:t>
        <w:br/>
        <w:t>Conneau, A., Khandelwal, K., Goyal, N., Chaudhary, V., Wenzek, G., Guzmán, F., ... Stoyanov,</w:t>
        <w:br/>
        <w:t>V. (2020). Unsupervised cross-lingual representation learning at scale. En Proceedings</w:t>
        <w:br/>
        <w:t>of the 58th annual meeting of the association for computational linguistics (acl) (pp. 8440–</w:t>
        <w:br/>
        <w:t>8451). doi: 10.18653/v1/2020.acl-main.747</w:t>
        <w:br/>
        <w:t>Dolowitz, D. P., y Marsh, D. (2000). Learning from abroad: The role of policy transfer in con-</w:t>
        <w:br/>
        <w:t>temporary policy-making. Governance, 13(1), 5–23. doi: 10.1111/0952-1895.00121</w:t>
        <w:br/>
        <w:t>Fatima, S., Desouza, K. C., y Dawson, G. S. (2020). National artificial intelligence policy: Anal-</w:t>
        <w:br/>
        <w:t>yses and a comparative study. Journal of the Association for Information Science and Tech-</w:t>
        <w:br/>
        <w:t>nology, 71(10), 1178–1192. doi: 10.1002/asi.24365</w:t>
        <w:br/>
        <w:t>Gobierno de México. (2025). Centro público de formación en inteligencia artificial (Inf. Téc.).</w:t>
        <w:br/>
        <w:t>Secretaría de Educación Pública. Descargado de https://www.mexia.gob.mx/</w:t>
        <w:br/>
        <w:t>Grimmer, J., Roberts, M. E., y Stewart, B. M. (2022). Text as data: A new framework for machine</w:t>
        <w:br/>
        <w:t>learning and the social sciences. Princeton, NJ: Princeton University Press.</w:t>
        <w:br/>
        <w:t>Grimmer, J., y Stewart, B. M. (2013). Text as data: The promise and pitfalls of automatic content</w:t>
        <w:br/>
        <w:t>analysis methods for political texts. Political Analysis, 21(3), 267–297. doi: 10.1093/pan/</w:t>
        <w:br/>
        <w:t>mps028</w:t>
        <w:br/>
        <w:t>Grootendorst, M. (2022). BERTopic: Neural topic modeling with a class-based TF-IDF proce-</w:t>
        <w:br/>
        <w:t>dure. arXiv preprint arXiv:2203.05794.</w:t>
        <w:br/>
        <w:t>Holmes, W., Bialik, M., y Fadel, C. (2019). Artificial intelligence in education: Promises and</w:t>
        <w:br/>
        <w:t>implications for teaching and learning. Boston, MA: Center for Curriculum Redesign.</w:t>
        <w:br/>
        <w:t>Howlett, M., y Ramesh, M. (2003). Studying public policy: Policy cycles and policy subsystems</w:t>
        <w:br/>
        <w:t>(2nd ed.). Don Mills, ON: Oxford University Press.</w:t>
        <w:br/>
        <w:t>Long, D., y Magerko, B. (2020). What is AI literacy? competencies and design considerations.</w:t>
        <w:br/>
        <w:t>En Proceedings of the 2020 chi conference on human factors in computing systems (pp.</w:t>
        <w:br/>
        <w:t>1–16). ACM. doi: 10.1145/3313831.3376727</w:t>
        <w:br/>
        <w:t>Miao, F., Holmes, W., Huang, R., y Zhang, H. (2021). AI and education: Guidance for policy-</w:t>
        <w:br/>
        <w:t>makers (Inf. Téc.). Paris: UNESCO. Descargado de https://unesdoc.unesco.org/</w:t>
      </w:r>
    </w:p>
    <w:p>
      <w:r>
        <w:t>10</w:t>
      </w:r>
    </w:p>
    <w:p>
      <w:r>
        <w:t>11</w:t>
      </w:r>
    </w:p>
    <w:p>
      <w:r>
        <w:t>ark:/48223/pf0000376709</w:t>
        <w:br/>
        <w:t>Milosevi´c, N., y Maksimovi´c, J. (2020). Methodology of comparative research in education: Role</w:t>
        <w:br/>
        <w:t>and significance. International Journal of Cognitive Research in Science, Engineering and</w:t>
        <w:br/>
        <w:t>Education, 8(3), 155–162. doi: 10.23947/2334-8496-2020-8-3-155-162</w:t>
        <w:br/>
        <w:t>Mishra, P., y Koehler, M. J. (2006). Technological pedagogical content knowledge: A framework</w:t>
        <w:br/>
        <w:t>for teacher knowledge. Teachers College Record, 108(6), 1017–1054. doi: 10.1111/j.1467</w:t>
        <w:br/>
        <w:t>-9620.2006.00684.x</w:t>
        <w:br/>
        <w:t>Nelson, L. K. (2020). Computational grounded theory: A methodological framework. Sociologi-</w:t>
        <w:br/>
        <w:t>cal Methods &amp; Research, 49(1), 3–42. doi: 10.1177/0049124117729703</w:t>
        <w:br/>
        <w:t>Ng, D. T. K., Leung, J. K. L., Chu, S. K. W., y Qiao, M. S. (2021). Conceptualizing AI literacy:</w:t>
        <w:br/>
        <w:t>An exploratory review. Computers and Education: Artificial Intelligence, 2, 100041. doi:</w:t>
        <w:br/>
        <w:t>10.1016/j.caeai.2021.100041</w:t>
        <w:br/>
        <w:t>Nosek, B. A., Ebersole, C. R., DeHaven, A. C., y Mellor, D. T. (2018). The preregistration rev-</w:t>
        <w:br/>
        <w:t>olution. Proceedings of the National Academy of Sciences, 115(11), 2600–2606. doi:</w:t>
        <w:br/>
        <w:t>10.1073/pnas.1708274114</w:t>
        <w:br/>
        <w:t>OECD. (2019). Recommendation of the council on artificial intelligence (Inf. Téc.). Or-</w:t>
        <w:br/>
        <w:t>ganisation for Economic Co-operation and Development.</w:t>
        <w:br/>
        <w:t>Descargado de https://</w:t>
        <w:br/>
        <w:t>legalinstruments.oecd.org/en/instruments/OECD-LEGAL-0449</w:t>
        <w:br/>
        <w:t>OECD. (2021). Education policy outlook 2021: Shaping responsive and resilient education in a</w:t>
        <w:br/>
        <w:t>changing world (Inf. Téc.). Paris: OECD Publishing. doi: 10.1787/75e40a16-en</w:t>
        <w:br/>
        <w:t>Reimers, N., y Gurevych, I. (2019). Sentence-BERT: Sentence embeddings using Siamese</w:t>
        <w:br/>
        <w:t>BERT-networks. En Proceedings of the 2019 conference on empirical methods in natu-</w:t>
        <w:br/>
        <w:t>ral language processing (emnlp) (pp. 3982–3992). doi: 10.18653/v1/D19-1410</w:t>
        <w:br/>
        <w:t>Rizvi, F., y Lingard, B. (2010). Globalizing education policy. London: Routledge.</w:t>
        <w:br/>
        <w:t>Secretaría de Educación Pública. (2026). 10 líneas de acción para el uso ético y crítico de la IA</w:t>
        <w:br/>
        <w:t>generativa en educación superior (Inf. Téc.). Ciudad de México: SEP.</w:t>
        <w:br/>
        <w:t>Shipan, C. R., y Volden, C. (2012). Policy diffusion: Seven lessons for scholars and practitioners.</w:t>
        <w:br/>
        <w:t>Public Administration Review, 72(6), 788–796. doi: 10.1111/j.1540-6210.2012.02610.x</w:t>
        <w:br/>
        <w:t>Steiner-Khamsi, G. (2014). Cross-national policy borrowing: Understanding reception and trans-</w:t>
        <w:br/>
        <w:t>lation. En M. Bray, B. Adamson, y M. Mason (Eds.), Comparative education research:</w:t>
        <w:br/>
        <w:t>Approaches and methods (2nd ed., pp. 155–174). Hong Kong: Springer/CERC.</w:t>
        <w:br/>
        <w:t>Thierer, A. (2018). The pacing problem and the future of technology regulation (Inf. Téc.). Mer-</w:t>
        <w:br/>
        <w:t>catus Center, George Mason University.</w:t>
        <w:br/>
        <w:t>UNESCO.</w:t>
        <w:br/>
        <w:t>(2019).</w:t>
        <w:br/>
        <w:t>Beijing consensus on artificial intelligence and education (Inf. Téc.).</w:t>
        <w:br/>
        <w:t>Paris: United Nations Educational, Scientific and Cultural Organization. Descargado de</w:t>
        <w:br/>
        <w:t>https://unesdoc.unesco.org/ark:/48223/pf0000368303</w:t>
      </w:r>
    </w:p>
    <w:p>
      <w:r>
        <w:t>12</w:t>
      </w:r>
    </w:p>
    <w:p>
      <w:r>
        <w:t>UNESCO. (2021). Recommendation on the ethics of artificial intelligence (Inf. Téc.). Paris:</w:t>
        <w:br/>
        <w:t>United Nations Educational, Scientific and Cultural Organization.</w:t>
        <w:br/>
        <w:t>UNESCO. (2023). Guidance for generative AI in education and research (Inf. Téc.). Paris: Unit-</w:t>
        <w:br/>
        <w:t>ed Nations Educational, Scientific and Cultural Organization. Descargado de https://</w:t>
        <w:br/>
        <w:t>unesdoc.unesco.org/ark:/48223/pf0000386693</w:t>
        <w:br/>
        <w:t>World Economic Forum. (2020). The future of jobs report 2020 (Inf. Téc.). Geneva: World</w:t>
        <w:br/>
        <w:t>Economic Forum.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