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rFonts w:ascii="Arial" w:cs="Arial" w:eastAsia="Arial" w:hAnsi="Arial"/>
          <w:b/>
          <w:bCs/>
          <w:color w:val="000000"/>
          <w:sz w:val="26"/>
          <w:szCs w:val="26"/>
        </w:rPr>
        <w:t xml:space="preserve">A14: AI-Enabled Security Solutions</w:t>
      </w:r>
    </w:p>
    <w:p>
      <w:pPr>
        <w:spacing w:after="140"/>
      </w:pPr>
      <w:r>
        <w:rPr>
          <w:rFonts w:ascii="Arial" w:cs="Arial" w:eastAsia="Arial" w:hAnsi="Arial"/>
          <w:color w:val="000000"/>
          <w:sz w:val="22"/>
          <w:szCs w:val="22"/>
        </w:rPr>
        <w:t xml:space="preserve">As cyber threats escalate across Australia, AI-powered security tools are becoming essential. Gartner forecasts over 75% of enterprises will use AI-amplified cybersecurity products by 2028, up from under 25% in 2025 (SecurityBrief Australia, 2025). Five key solutions are driving this shift.</w:t>
      </w:r>
    </w:p>
    <w:p>
      <w:pPr>
        <w:spacing w:after="80" w:before="160"/>
      </w:pPr>
      <w:r>
        <w:rPr>
          <w:rFonts w:ascii="Arial" w:cs="Arial" w:eastAsia="Arial" w:hAnsi="Arial"/>
          <w:b/>
          <w:bCs/>
          <w:color w:val="000000"/>
          <w:sz w:val="22"/>
          <w:szCs w:val="22"/>
        </w:rPr>
        <w:t xml:space="preserve">1. AI-Driven Threat Detection</w:t>
      </w:r>
    </w:p>
    <w:p>
      <w:pPr>
        <w:spacing w:after="140"/>
      </w:pPr>
      <w:r>
        <w:rPr>
          <w:rFonts w:ascii="Arial" w:cs="Arial" w:eastAsia="Arial" w:hAnsi="Arial"/>
          <w:color w:val="000000"/>
          <w:sz w:val="22"/>
          <w:szCs w:val="22"/>
        </w:rPr>
        <w:t xml:space="preserve">Platforms like Microsoft Sentinel and Vectra AI use machine learning to detect behavioural anomalies across networks and endpoints in real time, identifying threats that bypass traditional signature-based defences.</w:t>
      </w:r>
    </w:p>
    <w:p>
      <w:pPr>
        <w:spacing w:after="80" w:before="160"/>
      </w:pPr>
      <w:r>
        <w:rPr>
          <w:rFonts w:ascii="Arial" w:cs="Arial" w:eastAsia="Arial" w:hAnsi="Arial"/>
          <w:b/>
          <w:bCs/>
          <w:color w:val="000000"/>
          <w:sz w:val="22"/>
          <w:szCs w:val="22"/>
        </w:rPr>
        <w:t xml:space="preserve">2. AI Phishing and Social Engineering Defence</w:t>
      </w:r>
    </w:p>
    <w:p>
      <w:pPr>
        <w:spacing w:after="140"/>
      </w:pPr>
      <w:r>
        <w:rPr>
          <w:rFonts w:ascii="Arial" w:cs="Arial" w:eastAsia="Arial" w:hAnsi="Arial"/>
          <w:color w:val="000000"/>
          <w:sz w:val="22"/>
          <w:szCs w:val="22"/>
        </w:rPr>
        <w:t xml:space="preserve">Natural language processing tools analyse email content, metadata, and sender patterns to block phishing and impersonation attacks. This addresses the 115 social engineering breaches recorded in Australia in H2 2024 (OAIC, 2024).</w:t>
      </w:r>
    </w:p>
    <w:p>
      <w:pPr>
        <w:spacing w:after="80" w:before="160"/>
      </w:pPr>
      <w:r>
        <w:rPr>
          <w:rFonts w:ascii="Arial" w:cs="Arial" w:eastAsia="Arial" w:hAnsi="Arial"/>
          <w:b/>
          <w:bCs/>
          <w:color w:val="000000"/>
          <w:sz w:val="22"/>
          <w:szCs w:val="22"/>
        </w:rPr>
        <w:t xml:space="preserve">3. SOAR – Automated Incident Response</w:t>
      </w:r>
    </w:p>
    <w:p>
      <w:pPr>
        <w:spacing w:after="140"/>
      </w:pPr>
      <w:r>
        <w:rPr>
          <w:rFonts w:ascii="Arial" w:cs="Arial" w:eastAsia="Arial" w:hAnsi="Arial"/>
          <w:color w:val="000000"/>
          <w:sz w:val="22"/>
          <w:szCs w:val="22"/>
        </w:rPr>
        <w:t xml:space="preserve">Security Orchestration, Automation and Response platforms automate triage and remediation, executing response playbooks within seconds. These tools help Perth organisations manage growing threats despite Australia's cybersecurity skills shortage (SecurityBrief Australia, 2025).</w:t>
      </w:r>
    </w:p>
    <w:p>
      <w:pPr>
        <w:spacing w:after="80" w:before="160"/>
      </w:pPr>
      <w:r>
        <w:rPr>
          <w:rFonts w:ascii="Arial" w:cs="Arial" w:eastAsia="Arial" w:hAnsi="Arial"/>
          <w:b/>
          <w:bCs/>
          <w:color w:val="000000"/>
          <w:sz w:val="22"/>
          <w:szCs w:val="22"/>
        </w:rPr>
        <w:t xml:space="preserve">4. AI Attack Surface Management</w:t>
      </w:r>
    </w:p>
    <w:p>
      <w:pPr>
        <w:spacing w:after="140"/>
      </w:pPr>
      <w:r>
        <w:rPr>
          <w:rFonts w:ascii="Arial" w:cs="Arial" w:eastAsia="Arial" w:hAnsi="Arial"/>
          <w:color w:val="000000"/>
          <w:sz w:val="22"/>
          <w:szCs w:val="22"/>
        </w:rPr>
        <w:t xml:space="preserve">AI tools continuously scan cloud assets, IoT devices, and third-party systems for exposures. Over 60% of Australian security leaders have faced incidents from unmanaged assets, making proactive monitoring critical (Trend Micro via Herbert Smith Freehills, 2025).</w:t>
      </w:r>
    </w:p>
    <w:p>
      <w:pPr>
        <w:spacing w:after="80" w:before="160"/>
      </w:pPr>
      <w:r>
        <w:rPr>
          <w:rFonts w:ascii="Arial" w:cs="Arial" w:eastAsia="Arial" w:hAnsi="Arial"/>
          <w:b/>
          <w:bCs/>
          <w:color w:val="000000"/>
          <w:sz w:val="22"/>
          <w:szCs w:val="22"/>
        </w:rPr>
        <w:t xml:space="preserve">5. AI-Enforced Zero Trust Architecture</w:t>
      </w:r>
    </w:p>
    <w:p>
      <w:pPr>
        <w:spacing w:after="140"/>
      </w:pPr>
      <w:r>
        <w:rPr>
          <w:rFonts w:ascii="Arial" w:cs="Arial" w:eastAsia="Arial" w:hAnsi="Arial"/>
          <w:color w:val="000000"/>
          <w:sz w:val="22"/>
          <w:szCs w:val="22"/>
        </w:rPr>
        <w:t xml:space="preserve">Zero Trust tools use AI to verify every access request in real time based on user behaviour, device health, and location. Given credential-based breaches led Australian incident statistics in 2024, this is a high-value solution for Perth organisations (OAIC, 2024; ASD, 2025).</w:t>
      </w:r>
    </w:p>
    <w:p>
      <w:pPr>
        <w:spacing w:after="80" w:before="160"/>
      </w:pPr>
      <w:r>
        <w:rPr>
          <w:rFonts w:ascii="Arial" w:cs="Arial" w:eastAsia="Arial" w:hAnsi="Arial"/>
          <w:b/>
          <w:bCs/>
          <w:color w:val="000000"/>
          <w:sz w:val="22"/>
          <w:szCs w:val="2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000000" w:sz="1"/>
              <w:left w:val="single" w:color="000000" w:sz="1"/>
              <w:bottom w:val="single" w:color="000000" w:sz="1"/>
              <w:right w:val="single" w:color="000000" w:sz="1"/>
            </w:tcBorders>
            <w:shd w:fill="DDDDDD" w:val="clear"/>
            <w:tcMar>
              <w:top w:type="dxa" w:w="60"/>
              <w:left w:type="dxa" w:w="100"/>
              <w:bottom w:type="dxa" w:w="60"/>
              <w:right w:type="dxa" w:w="100"/>
            </w:tcMar>
          </w:tcPr>
          <w:p>
            <w:r>
              <w:rPr>
                <w:rFonts w:ascii="Arial" w:cs="Arial" w:eastAsia="Arial" w:hAnsi="Arial"/>
                <w:b/>
                <w:bCs/>
                <w:color w:val="000000"/>
                <w:sz w:val="20"/>
                <w:szCs w:val="20"/>
              </w:rPr>
              <w:t xml:space="preserve">Solution</w:t>
            </w:r>
          </w:p>
        </w:tc>
        <w:tc>
          <w:tcPr>
            <w:tcW w:type="dxa" w:w="3360"/>
            <w:tcBorders>
              <w:top w:val="single" w:color="000000" w:sz="1"/>
              <w:left w:val="single" w:color="000000" w:sz="1"/>
              <w:bottom w:val="single" w:color="000000" w:sz="1"/>
              <w:right w:val="single" w:color="000000" w:sz="1"/>
            </w:tcBorders>
            <w:shd w:fill="DDDDDD" w:val="clear"/>
            <w:tcMar>
              <w:top w:type="dxa" w:w="60"/>
              <w:left w:type="dxa" w:w="100"/>
              <w:bottom w:type="dxa" w:w="60"/>
              <w:right w:type="dxa" w:w="100"/>
            </w:tcMar>
          </w:tcPr>
          <w:p>
            <w:r>
              <w:rPr>
                <w:rFonts w:ascii="Arial" w:cs="Arial" w:eastAsia="Arial" w:hAnsi="Arial"/>
                <w:b/>
                <w:bCs/>
                <w:color w:val="000000"/>
                <w:sz w:val="20"/>
                <w:szCs w:val="20"/>
              </w:rPr>
              <w:t xml:space="preserve">Function</w:t>
            </w:r>
          </w:p>
        </w:tc>
        <w:tc>
          <w:tcPr>
            <w:tcW w:type="dxa" w:w="3200"/>
            <w:tcBorders>
              <w:top w:val="single" w:color="000000" w:sz="1"/>
              <w:left w:val="single" w:color="000000" w:sz="1"/>
              <w:bottom w:val="single" w:color="000000" w:sz="1"/>
              <w:right w:val="single" w:color="000000" w:sz="1"/>
            </w:tcBorders>
            <w:shd w:fill="DDDDDD" w:val="clear"/>
            <w:tcMar>
              <w:top w:type="dxa" w:w="60"/>
              <w:left w:type="dxa" w:w="100"/>
              <w:bottom w:type="dxa" w:w="60"/>
              <w:right w:type="dxa" w:w="100"/>
            </w:tcMar>
          </w:tcPr>
          <w:p>
            <w:r>
              <w:rPr>
                <w:rFonts w:ascii="Arial" w:cs="Arial" w:eastAsia="Arial" w:hAnsi="Arial"/>
                <w:b/>
                <w:bCs/>
                <w:color w:val="000000"/>
                <w:sz w:val="20"/>
                <w:szCs w:val="20"/>
              </w:rPr>
              <w:t xml:space="preserve">Key Benefit</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AI Threat Detection</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Behavioural anomaly detection</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Catches APTs and insider threats</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AI Phishing Defence</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NLP-based email filtering</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Blocks social engineering</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SOAR Platforms</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Automated incident response</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Faster containment</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Attack Surface Management</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Asset discovery and risk scoring</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Reduces unknown exposure</w:t>
            </w:r>
          </w:p>
        </w:tc>
      </w:tr>
      <w:tr>
        <w:tc>
          <w:tcPr>
            <w:tcW w:type="dxa" w:w="2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Zero Trust AI Enforcement</w:t>
            </w:r>
          </w:p>
        </w:tc>
        <w:tc>
          <w:tcPr>
            <w:tcW w:type="dxa" w:w="33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Continuous identity verification</w:t>
            </w:r>
          </w:p>
        </w:tc>
        <w:tc>
          <w:tcPr>
            <w:tcW w:type="dxa" w:w="3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Mitigates credential breaches</w:t>
            </w:r>
          </w:p>
        </w:tc>
      </w:tr>
    </w:tbl>
    <w:p>
      <w:pPr>
        <w:spacing w:before="160"/>
      </w:pPr>
      <w:r>
        <w:rPr>
          <w:rFonts w:ascii="Arial" w:cs="Arial" w:eastAsia="Arial" w:hAnsi="Arial"/>
          <w:i/>
          <w:iCs/>
          <w:color w:val="000000"/>
          <w:sz w:val="18"/>
          <w:szCs w:val="18"/>
        </w:rPr>
        <w:t xml:space="preserve">Sources: Gartner via SecurityBrief Australia (2025); ASD Cyber Threat Report 2024-25 (cyber.gov.au); OAIC Notifiable Data Breaches H2 2024; Cyble Australia Threat Report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2026-04-01T16:28:49.933Z</dcterms:created>
  <dcterms:modified xsi:type="dcterms:W3CDTF">2026-04-01T16:28:49.934Z</dcterms:modified>
</cp:coreProperties>
</file>

<file path=docProps/custom.xml><?xml version="1.0" encoding="utf-8"?>
<Properties xmlns="http://schemas.openxmlformats.org/officeDocument/2006/custom-properties" xmlns:vt="http://schemas.openxmlformats.org/officeDocument/2006/docPropsVTypes"/>
</file>