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Arial" w:cs="Arial" w:eastAsia="Arial" w:hAnsi="Arial"/>
          <w:b/>
          <w:bCs/>
          <w:color w:val="000000"/>
          <w:sz w:val="26"/>
          <w:szCs w:val="26"/>
        </w:rPr>
        <w:t xml:space="preserve">A6 – Cryptographic Implementation Offline</w:t>
      </w:r>
    </w:p>
    <w:p>
      <w:pPr>
        <w:spacing w:after="120"/>
      </w:pPr>
      <w:r>
        <w:rPr>
          <w:rFonts w:ascii="Arial" w:cs="Arial" w:eastAsia="Arial" w:hAnsi="Arial"/>
          <w:b w:val="false"/>
          <w:bCs w:val="false"/>
          <w:color w:val="000000"/>
          <w:sz w:val="22"/>
          <w:szCs w:val="22"/>
        </w:rPr>
        <w:t xml:space="preserve">Offline cryptography refers to the use of encryption and hashing algorithms to protect data at rest rather than data in transit. Three common implementations are disk encryption (BitLocker and FileVault), password hashing, and SSH key pairs. Each serves a distinct security purpose and relies on well-established cryptographic primitives.</w:t>
      </w:r>
    </w:p>
    <w:p>
      <w:pPr>
        <w:spacing w:after="120"/>
      </w:pPr>
      <w:r>
        <w:rPr>
          <w:rFonts w:ascii="Arial" w:cs="Arial" w:eastAsia="Arial" w:hAnsi="Arial"/>
          <w:b w:val="false"/>
          <w:bCs w:val="false"/>
          <w:color w:val="000000"/>
          <w:sz w:val="22"/>
          <w:szCs w:val="22"/>
        </w:rPr>
        <w:t xml:space="preserve">BitLocker (Windows) and FileVault (macOS) both provide full-disk encryption using AES-128 or AES-256. They encrypt the entire storage drive so that data is inaccessible without the correct credentials or recovery key. BitLocker uses the Trusted Platform Module (TPM) to bind the encryption key to the hardware, making it extremely difficult to extract data if the drive is removed. FileVault similarly integrates with the macOS login password to derive the encryption key.</w:t>
      </w:r>
    </w:p>
    <w:p>
      <w:pPr>
        <w:spacing w:after="120"/>
      </w:pPr>
      <w:r>
        <w:rPr>
          <w:rFonts w:ascii="Arial" w:cs="Arial" w:eastAsia="Arial" w:hAnsi="Arial"/>
          <w:b w:val="false"/>
          <w:bCs w:val="false"/>
          <w:color w:val="000000"/>
          <w:sz w:val="22"/>
          <w:szCs w:val="22"/>
        </w:rPr>
        <w:t xml:space="preserve">Password hashing is used to store user credentials securely. Rather than storing plaintext passwords, systems store a hash derived using algorithms such as bcrypt, scrypt, or Argon2. These are specifically designed to be computationally slow and resistant to brute-force attacks. The table below summarises key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Algorithm</w:t>
            </w:r>
          </w:p>
        </w:tc>
        <w:tc>
          <w:tcPr>
            <w:tcW w:type="dxa" w:w="3385"/>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Use Case</w:t>
            </w:r>
          </w:p>
        </w:tc>
        <w:tc>
          <w:tcPr>
            <w:tcW w:type="dxa" w:w="3385"/>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Strength</w:t>
            </w:r>
          </w:p>
        </w:tc>
      </w:tr>
      <w:t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bcrypt</w:t>
            </w:r>
          </w:p>
        </w:tc>
        <w:tc>
          <w:tcPr>
            <w:tcW w:type="dxa" w:w="3385"/>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 storage</w:t>
            </w:r>
          </w:p>
        </w:tc>
        <w:tc>
          <w:tcPr>
            <w:tcW w:type="dxa" w:w="3385"/>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Adjustable cost factor</w:t>
            </w:r>
          </w:p>
        </w:tc>
      </w:tr>
      <w:t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Argon2</w:t>
            </w:r>
          </w:p>
        </w:tc>
        <w:tc>
          <w:tcPr>
            <w:tcW w:type="dxa" w:w="3385"/>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 and key derivation</w:t>
            </w:r>
          </w:p>
        </w:tc>
        <w:tc>
          <w:tcPr>
            <w:tcW w:type="dxa" w:w="3385"/>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Memory-hard, PHC winner</w:t>
            </w:r>
          </w:p>
        </w:tc>
      </w:tr>
      <w:t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RSA/Ed25519</w:t>
            </w:r>
          </w:p>
        </w:tc>
        <w:tc>
          <w:tcPr>
            <w:tcW w:type="dxa" w:w="3385"/>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SSH key authentication</w:t>
            </w:r>
          </w:p>
        </w:tc>
        <w:tc>
          <w:tcPr>
            <w:tcW w:type="dxa" w:w="3385"/>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Asymmetric, no password needed</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SSH keys use asymmetric cryptography, generating a public/private key pair. The private key remains on the client machine and the public key is placed on the server. Authentication occurs through a cryptographic challenge-response that never transmits the private key. Ed25519 is now preferred over older RSA-2048 keys due to its smaller size and stronger security properties. Together, these three offline cryptographic mechanisms form the backbone of secure data storage and access control in modern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2026-04-01T15:22:24.528Z</dcterms:created>
  <dcterms:modified xsi:type="dcterms:W3CDTF">2026-04-01T15:22:24.528Z</dcterms:modified>
</cp:coreProperties>
</file>

<file path=docProps/custom.xml><?xml version="1.0" encoding="utf-8"?>
<Properties xmlns="http://schemas.openxmlformats.org/officeDocument/2006/custom-properties" xmlns:vt="http://schemas.openxmlformats.org/officeDocument/2006/docPropsVTypes"/>
</file>