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Arial" w:cs="Arial" w:eastAsia="Arial" w:hAnsi="Arial"/>
          <w:b/>
          <w:bCs/>
          <w:color w:val="1A3C5E"/>
          <w:sz w:val="30"/>
          <w:szCs w:val="30"/>
        </w:rPr>
        <w:t xml:space="preserve">Recent Cybersecurity Incidents (2024–2025)</w:t>
      </w:r>
    </w:p>
    <w:p>
      <w:pPr>
        <w:spacing w:after="160"/>
        <w:jc w:val="center"/>
      </w:pPr>
      <w:r>
        <w:rPr>
          <w:rFonts w:ascii="Arial" w:cs="Arial" w:eastAsia="Arial" w:hAnsi="Arial"/>
          <w:i/>
          <w:iCs/>
          <w:color w:val="555555"/>
          <w:sz w:val="20"/>
          <w:szCs w:val="20"/>
        </w:rPr>
        <w:t xml:space="preserve">Five Key Attack Types: Analysis &amp; Lessons</w:t>
      </w:r>
    </w:p>
    <w:p>
      <w:pPr>
        <w:pStyle w:val="Heading2"/>
      </w:pPr>
      <w:r>
        <w:rPr>
          <w:rFonts w:ascii="Arial" w:cs="Arial" w:eastAsia="Arial" w:hAnsi="Arial"/>
          <w:b/>
          <w:bCs/>
          <w:color w:val="2E5F8A"/>
          <w:sz w:val="24"/>
          <w:szCs w:val="24"/>
        </w:rPr>
        <w:t xml:space="preserve">Overview</w:t>
      </w:r>
    </w:p>
    <w:p>
      <w:pPr>
        <w:spacing w:after="160"/>
      </w:pPr>
      <w:r>
        <w:rPr>
          <w:rFonts w:ascii="Arial" w:cs="Arial" w:eastAsia="Arial" w:hAnsi="Arial"/>
          <w:sz w:val="20"/>
          <w:szCs w:val="20"/>
        </w:rPr>
        <w:t xml:space="preserve">The 2024–2025 cyber threat landscape has been defined by unprecedented scale and diversity of attacks. North Korea's Lazarus Group executed the largest cryptocurrency heist in history, stealing $1.47 billion from Bybit via a supply-chain compromise (Infosecurity Europe, 2026). In the UK, Scattered Spider's ransomware campaign against major retailers caused over £500 million in combined losses (Infosecurity Europe, 2026). State-sponsored espionage, exemplified by Chinese hackers breaching the US Treasury, and ransomware against critical industries such as Asahi Brewing illustrate that no sector is immune. Organizations must adopt Zero Trust principles, phishing-resistant MFA, rigorous vendor vetting, and regular incident response exercises to build genuine cyber resilience.</w:t>
      </w:r>
    </w:p>
    <w:p>
      <w:pPr>
        <w:pStyle w:val="Heading2"/>
      </w:pPr>
      <w:r>
        <w:rPr>
          <w:rFonts w:ascii="Arial" w:cs="Arial" w:eastAsia="Arial" w:hAnsi="Arial"/>
          <w:b/>
          <w:bCs/>
          <w:color w:val="2E5F8A"/>
          <w:sz w:val="24"/>
          <w:szCs w:val="24"/>
        </w:rPr>
        <w:t xml:space="preserve">Incident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1900"/>
        <w:gridCol w:w="2260"/>
        <w:gridCol w:w="2300"/>
      </w:tblGrid>
      <w:tr>
        <w:trPr>
          <w:tblHeader/>
        </w:trPr>
        <w:tc>
          <w:tcPr>
            <w:tcW w:type="dxa" w:w="1200"/>
            <w:tcBorders>
              <w:top w:val="single" w:color="AAAAAA" w:sz="1"/>
              <w:left w:val="single" w:color="AAAAAA" w:sz="1"/>
              <w:bottom w:val="single" w:color="AAAAAA" w:sz="1"/>
              <w:right w:val="single" w:color="AAAAAA" w:sz="1"/>
            </w:tcBorders>
            <w:shd w:fill="1A3C5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1700"/>
            <w:tcBorders>
              <w:top w:val="single" w:color="AAAAAA" w:sz="1"/>
              <w:left w:val="single" w:color="AAAAAA" w:sz="1"/>
              <w:bottom w:val="single" w:color="AAAAAA" w:sz="1"/>
              <w:right w:val="single" w:color="AAAAAA" w:sz="1"/>
            </w:tcBorders>
            <w:shd w:fill="1A3C5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Attack Type</w:t>
            </w:r>
          </w:p>
        </w:tc>
        <w:tc>
          <w:tcPr>
            <w:tcW w:type="dxa" w:w="1900"/>
            <w:tcBorders>
              <w:top w:val="single" w:color="AAAAAA" w:sz="1"/>
              <w:left w:val="single" w:color="AAAAAA" w:sz="1"/>
              <w:bottom w:val="single" w:color="AAAAAA" w:sz="1"/>
              <w:right w:val="single" w:color="AAAAAA" w:sz="1"/>
            </w:tcBorders>
            <w:shd w:fill="1A3C5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Victim</w:t>
            </w:r>
          </w:p>
        </w:tc>
        <w:tc>
          <w:tcPr>
            <w:tcW w:type="dxa" w:w="2260"/>
            <w:tcBorders>
              <w:top w:val="single" w:color="AAAAAA" w:sz="1"/>
              <w:left w:val="single" w:color="AAAAAA" w:sz="1"/>
              <w:bottom w:val="single" w:color="AAAAAA" w:sz="1"/>
              <w:right w:val="single" w:color="AAAAAA" w:sz="1"/>
            </w:tcBorders>
            <w:shd w:fill="1A3C5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Impact</w:t>
            </w:r>
          </w:p>
        </w:tc>
        <w:tc>
          <w:tcPr>
            <w:tcW w:type="dxa" w:w="2300"/>
            <w:tcBorders>
              <w:top w:val="single" w:color="AAAAAA" w:sz="1"/>
              <w:left w:val="single" w:color="AAAAAA" w:sz="1"/>
              <w:bottom w:val="single" w:color="AAAAAA" w:sz="1"/>
              <w:right w:val="single" w:color="AAAAAA" w:sz="1"/>
            </w:tcBorders>
            <w:shd w:fill="1A3C5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Lesson Learned</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r>
              <w:rPr>
                <w:rFonts w:ascii="Arial" w:cs="Arial" w:eastAsia="Arial" w:hAnsi="Arial"/>
                <w:sz w:val="17"/>
                <w:szCs w:val="17"/>
              </w:rPr>
              <w:t xml:space="preserve">Feb 2025</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r>
              <w:rPr>
                <w:rFonts w:ascii="Arial" w:cs="Arial" w:eastAsia="Arial" w:hAnsi="Arial"/>
                <w:sz w:val="17"/>
                <w:szCs w:val="17"/>
              </w:rPr>
              <w:t xml:space="preserve">Crypto Theft / Social Engineering</w:t>
            </w:r>
          </w:p>
        </w:tc>
        <w:tc>
          <w:tcPr>
            <w:tcW w:type="dxa" w:w="1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r>
              <w:rPr>
                <w:rFonts w:ascii="Arial" w:cs="Arial" w:eastAsia="Arial" w:hAnsi="Arial"/>
                <w:sz w:val="17"/>
                <w:szCs w:val="17"/>
              </w:rPr>
              <w:t xml:space="preserve">Bybit Exchange (Dubai)</w:t>
            </w:r>
          </w:p>
        </w:tc>
        <w:tc>
          <w:tcPr>
            <w:tcW w:type="dxa" w:w="22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r>
              <w:rPr>
                <w:rFonts w:ascii="Arial" w:cs="Arial" w:eastAsia="Arial" w:hAnsi="Arial"/>
                <w:sz w:val="17"/>
                <w:szCs w:val="17"/>
              </w:rPr>
              <w:t xml:space="preserve">$1.47B Ethereum stolen; largest crypto heist ever; FBI linked to North Korea Lazarus Group</w:t>
            </w:r>
          </w:p>
        </w:tc>
        <w:tc>
          <w:tcPr>
            <w:tcW w:type="dxa" w:w="2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r>
              <w:rPr>
                <w:rFonts w:ascii="Arial" w:cs="Arial" w:eastAsia="Arial" w:hAnsi="Arial"/>
                <w:sz w:val="17"/>
                <w:szCs w:val="17"/>
              </w:rPr>
              <w:t xml:space="preserve">Audit third-party wallet software; enforce multi-party transaction approvals</w:t>
            </w:r>
          </w:p>
        </w:tc>
      </w:tr>
      <w:tr>
        <w:tc>
          <w:tcPr>
            <w:tcW w:type="dxa" w:w="1200"/>
            <w:tcBorders>
              <w:top w:val="single" w:color="AAAAAA" w:sz="1"/>
              <w:left w:val="single" w:color="AAAAAA" w:sz="1"/>
              <w:bottom w:val="single" w:color="AAAAAA" w:sz="1"/>
              <w:right w:val="single" w:color="AAAAAA" w:sz="1"/>
            </w:tcBorders>
            <w:shd w:fill="EBF2FA" w:val="clear"/>
            <w:tcMar>
              <w:top w:type="dxa" w:w="60"/>
              <w:left w:type="dxa" w:w="100"/>
              <w:bottom w:type="dxa" w:w="60"/>
              <w:right w:type="dxa" w:w="100"/>
            </w:tcMar>
            <w:vAlign w:val="center"/>
          </w:tcPr>
          <w:p>
            <w:r>
              <w:rPr>
                <w:rFonts w:ascii="Arial" w:cs="Arial" w:eastAsia="Arial" w:hAnsi="Arial"/>
                <w:sz w:val="17"/>
                <w:szCs w:val="17"/>
              </w:rPr>
              <w:t xml:space="preserve">Apr–Jul 2025</w:t>
            </w:r>
          </w:p>
        </w:tc>
        <w:tc>
          <w:tcPr>
            <w:tcW w:type="dxa" w:w="1700"/>
            <w:tcBorders>
              <w:top w:val="single" w:color="AAAAAA" w:sz="1"/>
              <w:left w:val="single" w:color="AAAAAA" w:sz="1"/>
              <w:bottom w:val="single" w:color="AAAAAA" w:sz="1"/>
              <w:right w:val="single" w:color="AAAAAA" w:sz="1"/>
            </w:tcBorders>
            <w:shd w:fill="EBF2FA" w:val="clear"/>
            <w:tcMar>
              <w:top w:type="dxa" w:w="60"/>
              <w:left w:type="dxa" w:w="100"/>
              <w:bottom w:type="dxa" w:w="60"/>
              <w:right w:type="dxa" w:w="100"/>
            </w:tcMar>
            <w:vAlign w:val="center"/>
          </w:tcPr>
          <w:p>
            <w:r>
              <w:rPr>
                <w:rFonts w:ascii="Arial" w:cs="Arial" w:eastAsia="Arial" w:hAnsi="Arial"/>
                <w:sz w:val="17"/>
                <w:szCs w:val="17"/>
              </w:rPr>
              <w:t xml:space="preserve">Ransomware (Scattered Spider)</w:t>
            </w:r>
          </w:p>
        </w:tc>
        <w:tc>
          <w:tcPr>
            <w:tcW w:type="dxa" w:w="1900"/>
            <w:tcBorders>
              <w:top w:val="single" w:color="AAAAAA" w:sz="1"/>
              <w:left w:val="single" w:color="AAAAAA" w:sz="1"/>
              <w:bottom w:val="single" w:color="AAAAAA" w:sz="1"/>
              <w:right w:val="single" w:color="AAAAAA" w:sz="1"/>
            </w:tcBorders>
            <w:shd w:fill="EBF2FA" w:val="clear"/>
            <w:tcMar>
              <w:top w:type="dxa" w:w="60"/>
              <w:left w:type="dxa" w:w="100"/>
              <w:bottom w:type="dxa" w:w="60"/>
              <w:right w:type="dxa" w:w="100"/>
            </w:tcMar>
            <w:vAlign w:val="center"/>
          </w:tcPr>
          <w:p>
            <w:r>
              <w:rPr>
                <w:rFonts w:ascii="Arial" w:cs="Arial" w:eastAsia="Arial" w:hAnsi="Arial"/>
                <w:sz w:val="17"/>
                <w:szCs w:val="17"/>
              </w:rPr>
              <w:t xml:space="preserve">M&amp;S, Co-op &amp; Harrods (UK)</w:t>
            </w:r>
          </w:p>
        </w:tc>
        <w:tc>
          <w:tcPr>
            <w:tcW w:type="dxa" w:w="2260"/>
            <w:tcBorders>
              <w:top w:val="single" w:color="AAAAAA" w:sz="1"/>
              <w:left w:val="single" w:color="AAAAAA" w:sz="1"/>
              <w:bottom w:val="single" w:color="AAAAAA" w:sz="1"/>
              <w:right w:val="single" w:color="AAAAAA" w:sz="1"/>
            </w:tcBorders>
            <w:shd w:fill="EBF2FA" w:val="clear"/>
            <w:tcMar>
              <w:top w:type="dxa" w:w="60"/>
              <w:left w:type="dxa" w:w="100"/>
              <w:bottom w:type="dxa" w:w="60"/>
              <w:right w:type="dxa" w:w="100"/>
            </w:tcMar>
            <w:vAlign w:val="center"/>
          </w:tcPr>
          <w:p>
            <w:r>
              <w:rPr>
                <w:rFonts w:ascii="Arial" w:cs="Arial" w:eastAsia="Arial" w:hAnsi="Arial"/>
                <w:sz w:val="17"/>
                <w:szCs w:val="17"/>
              </w:rPr>
              <w:t xml:space="preserve">M&amp;S lost ~£300M; Co-op lost ~£206M; customer data stolen; teen hackers arrested</w:t>
            </w:r>
          </w:p>
        </w:tc>
        <w:tc>
          <w:tcPr>
            <w:tcW w:type="dxa" w:w="2300"/>
            <w:tcBorders>
              <w:top w:val="single" w:color="AAAAAA" w:sz="1"/>
              <w:left w:val="single" w:color="AAAAAA" w:sz="1"/>
              <w:bottom w:val="single" w:color="AAAAAA" w:sz="1"/>
              <w:right w:val="single" w:color="AAAAAA" w:sz="1"/>
            </w:tcBorders>
            <w:shd w:fill="EBF2FA" w:val="clear"/>
            <w:tcMar>
              <w:top w:type="dxa" w:w="60"/>
              <w:left w:type="dxa" w:w="100"/>
              <w:bottom w:type="dxa" w:w="60"/>
              <w:right w:type="dxa" w:w="100"/>
            </w:tcMar>
            <w:vAlign w:val="center"/>
          </w:tcPr>
          <w:p>
            <w:r>
              <w:rPr>
                <w:rFonts w:ascii="Arial" w:cs="Arial" w:eastAsia="Arial" w:hAnsi="Arial"/>
                <w:sz w:val="17"/>
                <w:szCs w:val="17"/>
              </w:rPr>
              <w:t xml:space="preserve">Enforce phishing-resistant MFA; monitor for social engineering attempts on IT helpdesks</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r>
              <w:rPr>
                <w:rFonts w:ascii="Arial" w:cs="Arial" w:eastAsia="Arial" w:hAnsi="Arial"/>
                <w:sz w:val="17"/>
                <w:szCs w:val="17"/>
              </w:rPr>
              <w:t xml:space="preserve">Feb 2025</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r>
              <w:rPr>
                <w:rFonts w:ascii="Arial" w:cs="Arial" w:eastAsia="Arial" w:hAnsi="Arial"/>
                <w:sz w:val="17"/>
                <w:szCs w:val="17"/>
              </w:rPr>
              <w:t xml:space="preserve">Supply Chain Attack</w:t>
            </w:r>
          </w:p>
        </w:tc>
        <w:tc>
          <w:tcPr>
            <w:tcW w:type="dxa" w:w="1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r>
              <w:rPr>
                <w:rFonts w:ascii="Arial" w:cs="Arial" w:eastAsia="Arial" w:hAnsi="Arial"/>
                <w:sz w:val="17"/>
                <w:szCs w:val="17"/>
              </w:rPr>
              <w:t xml:space="preserve">Bybit / SafeWallet (Global)</w:t>
            </w:r>
          </w:p>
        </w:tc>
        <w:tc>
          <w:tcPr>
            <w:tcW w:type="dxa" w:w="22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r>
              <w:rPr>
                <w:rFonts w:ascii="Arial" w:cs="Arial" w:eastAsia="Arial" w:hAnsi="Arial"/>
                <w:sz w:val="17"/>
                <w:szCs w:val="17"/>
              </w:rPr>
              <w:t xml:space="preserve">Attacker compromised developer machine of third-party wallet provider to reach Bybit</w:t>
            </w:r>
          </w:p>
        </w:tc>
        <w:tc>
          <w:tcPr>
            <w:tcW w:type="dxa" w:w="2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r>
              <w:rPr>
                <w:rFonts w:ascii="Arial" w:cs="Arial" w:eastAsia="Arial" w:hAnsi="Arial"/>
                <w:sz w:val="17"/>
                <w:szCs w:val="17"/>
              </w:rPr>
              <w:t xml:space="preserve">Apply Zero Trust to vendor access; verify software integrity before deployment</w:t>
            </w:r>
          </w:p>
        </w:tc>
      </w:tr>
      <w:tr>
        <w:tc>
          <w:tcPr>
            <w:tcW w:type="dxa" w:w="1200"/>
            <w:tcBorders>
              <w:top w:val="single" w:color="AAAAAA" w:sz="1"/>
              <w:left w:val="single" w:color="AAAAAA" w:sz="1"/>
              <w:bottom w:val="single" w:color="AAAAAA" w:sz="1"/>
              <w:right w:val="single" w:color="AAAAAA" w:sz="1"/>
            </w:tcBorders>
            <w:shd w:fill="EBF2FA" w:val="clear"/>
            <w:tcMar>
              <w:top w:type="dxa" w:w="60"/>
              <w:left w:type="dxa" w:w="100"/>
              <w:bottom w:type="dxa" w:w="60"/>
              <w:right w:type="dxa" w:w="100"/>
            </w:tcMar>
            <w:vAlign w:val="center"/>
          </w:tcPr>
          <w:p>
            <w:r>
              <w:rPr>
                <w:rFonts w:ascii="Arial" w:cs="Arial" w:eastAsia="Arial" w:hAnsi="Arial"/>
                <w:sz w:val="17"/>
                <w:szCs w:val="17"/>
              </w:rPr>
              <w:t xml:space="preserve">Dec 2024</w:t>
            </w:r>
          </w:p>
        </w:tc>
        <w:tc>
          <w:tcPr>
            <w:tcW w:type="dxa" w:w="1700"/>
            <w:tcBorders>
              <w:top w:val="single" w:color="AAAAAA" w:sz="1"/>
              <w:left w:val="single" w:color="AAAAAA" w:sz="1"/>
              <w:bottom w:val="single" w:color="AAAAAA" w:sz="1"/>
              <w:right w:val="single" w:color="AAAAAA" w:sz="1"/>
            </w:tcBorders>
            <w:shd w:fill="EBF2FA" w:val="clear"/>
            <w:tcMar>
              <w:top w:type="dxa" w:w="60"/>
              <w:left w:type="dxa" w:w="100"/>
              <w:bottom w:type="dxa" w:w="60"/>
              <w:right w:type="dxa" w:w="100"/>
            </w:tcMar>
            <w:vAlign w:val="center"/>
          </w:tcPr>
          <w:p>
            <w:r>
              <w:rPr>
                <w:rFonts w:ascii="Arial" w:cs="Arial" w:eastAsia="Arial" w:hAnsi="Arial"/>
                <w:sz w:val="17"/>
                <w:szCs w:val="17"/>
              </w:rPr>
              <w:t xml:space="preserve">State-Sponsored Espionage</w:t>
            </w:r>
          </w:p>
        </w:tc>
        <w:tc>
          <w:tcPr>
            <w:tcW w:type="dxa" w:w="1900"/>
            <w:tcBorders>
              <w:top w:val="single" w:color="AAAAAA" w:sz="1"/>
              <w:left w:val="single" w:color="AAAAAA" w:sz="1"/>
              <w:bottom w:val="single" w:color="AAAAAA" w:sz="1"/>
              <w:right w:val="single" w:color="AAAAAA" w:sz="1"/>
            </w:tcBorders>
            <w:shd w:fill="EBF2FA" w:val="clear"/>
            <w:tcMar>
              <w:top w:type="dxa" w:w="60"/>
              <w:left w:type="dxa" w:w="100"/>
              <w:bottom w:type="dxa" w:w="60"/>
              <w:right w:type="dxa" w:w="100"/>
            </w:tcMar>
            <w:vAlign w:val="center"/>
          </w:tcPr>
          <w:p>
            <w:r>
              <w:rPr>
                <w:rFonts w:ascii="Arial" w:cs="Arial" w:eastAsia="Arial" w:hAnsi="Arial"/>
                <w:sz w:val="17"/>
                <w:szCs w:val="17"/>
              </w:rPr>
              <w:t xml:space="preserve">US Treasury / BeyondTrust</w:t>
            </w:r>
          </w:p>
        </w:tc>
        <w:tc>
          <w:tcPr>
            <w:tcW w:type="dxa" w:w="2260"/>
            <w:tcBorders>
              <w:top w:val="single" w:color="AAAAAA" w:sz="1"/>
              <w:left w:val="single" w:color="AAAAAA" w:sz="1"/>
              <w:bottom w:val="single" w:color="AAAAAA" w:sz="1"/>
              <w:right w:val="single" w:color="AAAAAA" w:sz="1"/>
            </w:tcBorders>
            <w:shd w:fill="EBF2FA" w:val="clear"/>
            <w:tcMar>
              <w:top w:type="dxa" w:w="60"/>
              <w:left w:type="dxa" w:w="100"/>
              <w:bottom w:type="dxa" w:w="60"/>
              <w:right w:type="dxa" w:w="100"/>
            </w:tcMar>
            <w:vAlign w:val="center"/>
          </w:tcPr>
          <w:p>
            <w:r>
              <w:rPr>
                <w:rFonts w:ascii="Arial" w:cs="Arial" w:eastAsia="Arial" w:hAnsi="Arial"/>
                <w:sz w:val="17"/>
                <w:szCs w:val="17"/>
              </w:rPr>
              <w:t xml:space="preserve">Chinese hackers accessed 3,000+ unclassified documents via compromised third-party IT vendor</w:t>
            </w:r>
          </w:p>
        </w:tc>
        <w:tc>
          <w:tcPr>
            <w:tcW w:type="dxa" w:w="2300"/>
            <w:tcBorders>
              <w:top w:val="single" w:color="AAAAAA" w:sz="1"/>
              <w:left w:val="single" w:color="AAAAAA" w:sz="1"/>
              <w:bottom w:val="single" w:color="AAAAAA" w:sz="1"/>
              <w:right w:val="single" w:color="AAAAAA" w:sz="1"/>
            </w:tcBorders>
            <w:shd w:fill="EBF2FA" w:val="clear"/>
            <w:tcMar>
              <w:top w:type="dxa" w:w="60"/>
              <w:left w:type="dxa" w:w="100"/>
              <w:bottom w:type="dxa" w:w="60"/>
              <w:right w:type="dxa" w:w="100"/>
            </w:tcMar>
            <w:vAlign w:val="center"/>
          </w:tcPr>
          <w:p>
            <w:r>
              <w:rPr>
                <w:rFonts w:ascii="Arial" w:cs="Arial" w:eastAsia="Arial" w:hAnsi="Arial"/>
                <w:sz w:val="17"/>
                <w:szCs w:val="17"/>
              </w:rPr>
              <w:t xml:space="preserve">Audit supply-chain access; rotate API keys; monitor vendor-issued credentials</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r>
              <w:rPr>
                <w:rFonts w:ascii="Arial" w:cs="Arial" w:eastAsia="Arial" w:hAnsi="Arial"/>
                <w:sz w:val="17"/>
                <w:szCs w:val="17"/>
              </w:rPr>
              <w:t xml:space="preserve">Sep 2025</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r>
              <w:rPr>
                <w:rFonts w:ascii="Arial" w:cs="Arial" w:eastAsia="Arial" w:hAnsi="Arial"/>
                <w:sz w:val="17"/>
                <w:szCs w:val="17"/>
              </w:rPr>
              <w:t xml:space="preserve">Ransomware (Qilin Group)</w:t>
            </w:r>
          </w:p>
        </w:tc>
        <w:tc>
          <w:tcPr>
            <w:tcW w:type="dxa" w:w="1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r>
              <w:rPr>
                <w:rFonts w:ascii="Arial" w:cs="Arial" w:eastAsia="Arial" w:hAnsi="Arial"/>
                <w:sz w:val="17"/>
                <w:szCs w:val="17"/>
              </w:rPr>
              <w:t xml:space="preserve">Asahi Brewing (Japan)</w:t>
            </w:r>
          </w:p>
        </w:tc>
        <w:tc>
          <w:tcPr>
            <w:tcW w:type="dxa" w:w="22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r>
              <w:rPr>
                <w:rFonts w:ascii="Arial" w:cs="Arial" w:eastAsia="Arial" w:hAnsi="Arial"/>
                <w:sz w:val="17"/>
                <w:szCs w:val="17"/>
              </w:rPr>
              <w:t xml:space="preserve">1.9M individuals affected; 27 GB stolen; Japan operations suspended until Feb 2026</w:t>
            </w:r>
          </w:p>
        </w:tc>
        <w:tc>
          <w:tcPr>
            <w:tcW w:type="dxa" w:w="2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r>
              <w:rPr>
                <w:rFonts w:ascii="Arial" w:cs="Arial" w:eastAsia="Arial" w:hAnsi="Arial"/>
                <w:sz w:val="17"/>
                <w:szCs w:val="17"/>
              </w:rPr>
              <w:t xml:space="preserve">Isolate OT/IT networks; test ransomware response plans with tabletop exercises</w:t>
            </w:r>
          </w:p>
        </w:tc>
      </w:tr>
    </w:tbl>
    <w:p>
      <w:pPr>
        <w:spacing w:after="160"/>
      </w:pPr>
    </w:p>
    <w:p>
      <w:pPr>
        <w:pStyle w:val="Heading2"/>
      </w:pPr>
      <w:r>
        <w:rPr>
          <w:rFonts w:ascii="Arial" w:cs="Arial" w:eastAsia="Arial" w:hAnsi="Arial"/>
          <w:b/>
          <w:bCs/>
          <w:color w:val="2E5F8A"/>
          <w:sz w:val="24"/>
          <w:szCs w:val="24"/>
        </w:rPr>
        <w:t xml:space="preserve">References</w:t>
      </w:r>
    </w:p>
    <w:p>
      <w:pPr>
        <w:spacing w:after="80"/>
        <w:ind w:left="720" w:hanging="720"/>
      </w:pPr>
      <w:r>
        <w:rPr>
          <w:rFonts w:ascii="Arial" w:cs="Arial" w:eastAsia="Arial" w:hAnsi="Arial"/>
          <w:sz w:val="18"/>
          <w:szCs w:val="18"/>
        </w:rPr>
        <w:t xml:space="preserve">Centre for Strategic and International Studies (CSIS). (2025). Significant cyber incidents. https://www.csis.org/programs/strategic-technologies-program/significant-cyber-incidents</w:t>
      </w:r>
    </w:p>
    <w:p>
      <w:pPr>
        <w:spacing w:after="80"/>
        <w:ind w:left="720" w:hanging="720"/>
      </w:pPr>
      <w:r>
        <w:rPr>
          <w:rFonts w:ascii="Arial" w:cs="Arial" w:eastAsia="Arial" w:hAnsi="Arial"/>
          <w:sz w:val="18"/>
          <w:szCs w:val="18"/>
        </w:rPr>
        <w:t xml:space="preserve">CM Alliance. (2025). Biggest cyber attacks of 2025 &amp; their impact on global cybersecurity. https://www.cm-alliance.com/cybersecurity-blog/biggest-cyber-attacks-of-2025-their-impact-on-global-cybersecurity</w:t>
      </w:r>
    </w:p>
    <w:p>
      <w:pPr>
        <w:spacing w:after="80"/>
        <w:ind w:left="720" w:hanging="720"/>
      </w:pPr>
      <w:r>
        <w:rPr>
          <w:rFonts w:ascii="Arial" w:cs="Arial" w:eastAsia="Arial" w:hAnsi="Arial"/>
          <w:sz w:val="18"/>
          <w:szCs w:val="18"/>
        </w:rPr>
        <w:t xml:space="preserve">Infosecurity Europe. (2026). Top 5 cyber-attacks of 2025. https://www.infosecurityeurope.com/en-gb/blog/threat-vectors/top-five-cyber-attacks-2025.html</w:t>
      </w:r>
    </w:p>
    <w:p>
      <w:pPr>
        <w:spacing w:after="80"/>
        <w:ind w:left="720" w:hanging="720"/>
      </w:pPr>
      <w:r>
        <w:rPr>
          <w:rFonts w:ascii="Arial" w:cs="Arial" w:eastAsia="Arial" w:hAnsi="Arial"/>
          <w:sz w:val="18"/>
          <w:szCs w:val="18"/>
        </w:rPr>
        <w:t xml:space="preserve">Infosecurity Magazine. (2025). Top 10 cyber-attacks of 2025. https://www.infosecurity-magazine.com/news-features/top-10-cyberattacks-of-2025/</w:t>
      </w:r>
    </w:p>
    <w:p>
      <w:pPr>
        <w:spacing w:after="80"/>
        <w:ind w:left="720" w:hanging="720"/>
      </w:pPr>
      <w:r>
        <w:rPr>
          <w:rFonts w:ascii="Arial" w:cs="Arial" w:eastAsia="Arial" w:hAnsi="Arial"/>
          <w:sz w:val="18"/>
          <w:szCs w:val="18"/>
        </w:rPr>
        <w:t xml:space="preserve">Mayer Brown. (2025). 2025 cyber incident trends: What your business needs to know. https://www.mayerbrown.com/en/insights/publications/2025/10/2025-cyber-incident-trends-what-your-business-needs-to-know</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00"/>
      <w:outlineLvl w:val="0"/>
    </w:pPr>
    <w:rPr>
      <w:rFonts w:ascii="Arial" w:cs="Arial" w:eastAsia="Arial" w:hAnsi="Arial"/>
      <w:b/>
      <w:bCs/>
      <w:color w:val="1A3C5E"/>
      <w:sz w:val="30"/>
      <w:szCs w:val="30"/>
    </w:rPr>
  </w:style>
  <w:style w:type="paragraph" w:styleId="Heading2">
    <w:name w:val="Heading 2"/>
    <w:basedOn w:val="Normal"/>
    <w:next w:val="Normal"/>
    <w:qFormat/>
    <w:pPr>
      <w:spacing w:after="80" w:before="160"/>
      <w:outlineLvl w:val="1"/>
    </w:pPr>
    <w:rPr>
      <w:rFonts w:ascii="Arial" w:cs="Arial" w:eastAsia="Arial" w:hAnsi="Arial"/>
      <w:b/>
      <w:bCs/>
      <w:color w:val="2E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2026-03-15T06:06:00.232Z</dcterms:created>
  <dcterms:modified xsi:type="dcterms:W3CDTF">2026-03-15T06:06:00.233Z</dcterms:modified>
</cp:coreProperties>
</file>

<file path=docProps/custom.xml><?xml version="1.0" encoding="utf-8"?>
<Properties xmlns="http://schemas.openxmlformats.org/officeDocument/2006/custom-properties" xmlns:vt="http://schemas.openxmlformats.org/officeDocument/2006/docPropsVTypes"/>
</file>