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80" w:type="dxa"/>
        <w:jc w:val="start"/>
        <w:tblInd w:w="0" w:type="dxa"/>
        <w:tblLayout w:type="fixed"/>
        <w:tblCellMar>
          <w:top w:w="480" w:type="dxa"/>
          <w:start w:w="560" w:type="dxa"/>
          <w:bottom w:w="480" w:type="dxa"/>
          <w:end w:w="560" w:type="dxa"/>
        </w:tblCellMar>
      </w:tblPr>
      <w:tblGrid>
        <w:gridCol w:w="10080"/>
      </w:tblGrid>
      <w:tr>
        <w:trPr/>
        <w:tc>
          <w:tcPr>
            <w:tcW w:w="10080" w:type="dxa"/>
            <w:tcBorders/>
            <w:shd w:fill="0D2240" w:val="clear"/>
          </w:tcPr>
          <w:p>
            <w:pPr>
              <w:pStyle w:val="Normal"/>
              <w:spacing w:before="0" w:after="100"/>
              <w:jc w:val="start"/>
              <w:rPr/>
            </w:pPr>
            <w:r>
              <w:rPr>
                <w:rFonts w:eastAsia="Georgia" w:cs="Georgia" w:ascii="Georgia" w:hAnsi="Georgia"/>
                <w:b/>
                <w:bCs/>
                <w:caps/>
                <w:color w:val="FFFFFF"/>
                <w:sz w:val="64"/>
                <w:szCs w:val="64"/>
              </w:rPr>
              <w:t>PHARMALINK</w:t>
            </w:r>
          </w:p>
          <w:p>
            <w:pPr>
              <w:pStyle w:val="Normal"/>
              <w:spacing w:before="0" w:after="280"/>
              <w:jc w:val="start"/>
              <w:rPr/>
            </w:pPr>
            <w:r>
              <w:rPr>
                <w:rFonts w:eastAsia="Calibri" w:cs="Calibri"/>
                <w:color w:val="A8C8F0"/>
                <w:sz w:val="24"/>
                <w:szCs w:val="24"/>
              </w:rPr>
              <w:t>B2B Medicine Distribution · Churn Prediction Case Study</w:t>
            </w:r>
          </w:p>
          <w:p>
            <w:pPr>
              <w:pStyle w:val="Normal"/>
              <w:spacing w:before="0" w:after="280"/>
              <w:jc w:val="start"/>
              <w:rPr/>
            </w:pPr>
            <w:r>
              <w:rPr>
                <w:color w:val="2E5C8A"/>
              </w:rPr>
              <w:t>━━━━━━━━━━━━━━━━━━━━━━━━━━━━━━━━━━━━</w:t>
            </w:r>
          </w:p>
          <w:p>
            <w:pPr>
              <w:pStyle w:val="Normal"/>
              <w:spacing w:before="0" w:after="60"/>
              <w:jc w:val="start"/>
              <w:rPr/>
            </w:pPr>
            <w:r>
              <w:rPr>
                <w:rFonts w:eastAsia="Calibri" w:cs="Calibri"/>
                <w:color w:val="A8C8F0"/>
                <w:sz w:val="22"/>
                <w:szCs w:val="22"/>
              </w:rPr>
              <w:t>PG Diploma · AI-ML &amp; Agentic AI Engineering</w:t>
            </w:r>
          </w:p>
          <w:p>
            <w:pPr>
              <w:pStyle w:val="Normal"/>
              <w:spacing w:before="0" w:after="0"/>
              <w:jc w:val="start"/>
              <w:rPr/>
            </w:pPr>
            <w:r>
              <w:rPr>
                <w:rFonts w:eastAsia="Calibri" w:cs="Calibri"/>
                <w:color w:val="A8C8F0"/>
                <w:sz w:val="22"/>
                <w:szCs w:val="22"/>
              </w:rPr>
              <w:t>IIT Gandhinagar  ·  Week 05 Case Study</w:t>
            </w:r>
          </w:p>
        </w:tc>
      </w:tr>
    </w:tbl>
    <w:p>
      <w:pPr>
        <w:pStyle w:val="Normal"/>
        <w:spacing w:before="60" w:after="60"/>
        <w:rPr/>
      </w:pPr>
      <w:r>
        <w:rPr/>
      </w:r>
    </w:p>
    <w:p>
      <w:pPr>
        <w:pStyle w:val="Normal"/>
        <w:spacing w:before="60" w:after="60"/>
        <w:rPr/>
      </w:pPr>
      <w:r>
        <w:rPr/>
      </w:r>
    </w:p>
    <w:tbl>
      <w:tblPr>
        <w:tblW w:w="10080" w:type="dxa"/>
        <w:jc w:val="start"/>
        <w:tblInd w:w="0" w:type="dxa"/>
        <w:tblLayout w:type="fixed"/>
        <w:tblCellMar>
          <w:top w:w="120" w:type="dxa"/>
          <w:start w:w="160" w:type="dxa"/>
          <w:bottom w:w="120" w:type="dxa"/>
          <w:end w:w="160" w:type="dxa"/>
        </w:tblCellMar>
      </w:tblPr>
      <w:tblGrid>
        <w:gridCol w:w="2400"/>
        <w:gridCol w:w="2400"/>
        <w:gridCol w:w="2640"/>
        <w:gridCol w:w="2640"/>
      </w:tblGrid>
      <w:tr>
        <w:trPr/>
        <w:tc>
          <w:tcPr>
            <w:tcW w:w="2400" w:type="dxa"/>
            <w:tcBorders/>
            <w:shd w:fill="0D2240" w:val="clear"/>
          </w:tcPr>
          <w:p>
            <w:pPr>
              <w:pStyle w:val="Normal"/>
              <w:jc w:val="center"/>
              <w:rPr/>
            </w:pPr>
            <w:r>
              <w:rPr>
                <w:rFonts w:eastAsia="Georgia" w:cs="Georgia" w:ascii="Georgia" w:hAnsi="Georgia"/>
                <w:b/>
                <w:bCs/>
                <w:color w:val="FFFFFF"/>
                <w:sz w:val="26"/>
                <w:szCs w:val="26"/>
              </w:rPr>
              <w:t>1.8M+ Pharmacies</w:t>
            </w:r>
          </w:p>
        </w:tc>
        <w:tc>
          <w:tcPr>
            <w:tcW w:w="2400" w:type="dxa"/>
            <w:tcBorders/>
            <w:shd w:fill="1A56A0" w:val="clear"/>
          </w:tcPr>
          <w:p>
            <w:pPr>
              <w:pStyle w:val="Normal"/>
              <w:jc w:val="center"/>
              <w:rPr/>
            </w:pPr>
            <w:r>
              <w:rPr>
                <w:rFonts w:eastAsia="Georgia" w:cs="Georgia" w:ascii="Georgia" w:hAnsi="Georgia"/>
                <w:b/>
                <w:bCs/>
                <w:color w:val="FFFFFF"/>
                <w:sz w:val="26"/>
                <w:szCs w:val="26"/>
              </w:rPr>
              <w:t>700+ Cities</w:t>
            </w:r>
          </w:p>
        </w:tc>
        <w:tc>
          <w:tcPr>
            <w:tcW w:w="2640" w:type="dxa"/>
            <w:tcBorders/>
            <w:shd w:fill="C85A00" w:val="clear"/>
          </w:tcPr>
          <w:p>
            <w:pPr>
              <w:pStyle w:val="Normal"/>
              <w:jc w:val="center"/>
              <w:rPr/>
            </w:pPr>
            <w:r>
              <w:rPr>
                <w:rFonts w:eastAsia="Georgia" w:cs="Georgia" w:ascii="Georgia" w:hAnsi="Georgia"/>
                <w:b/>
                <w:bCs/>
                <w:color w:val="FFFFFF"/>
                <w:sz w:val="26"/>
                <w:szCs w:val="26"/>
              </w:rPr>
              <w:t>15% Churn Risk</w:t>
            </w:r>
          </w:p>
        </w:tc>
        <w:tc>
          <w:tcPr>
            <w:tcW w:w="2640" w:type="dxa"/>
            <w:tcBorders/>
            <w:shd w:fill="0B7B8B" w:val="clear"/>
          </w:tcPr>
          <w:p>
            <w:pPr>
              <w:pStyle w:val="Normal"/>
              <w:jc w:val="center"/>
              <w:rPr/>
            </w:pPr>
            <w:r>
              <w:rPr>
                <w:rFonts w:eastAsia="Georgia" w:cs="Georgia" w:ascii="Georgia" w:hAnsi="Georgia"/>
                <w:b/>
                <w:bCs/>
                <w:color w:val="FFFFFF"/>
                <w:sz w:val="26"/>
                <w:szCs w:val="26"/>
              </w:rPr>
              <w:t>42 Features</w:t>
            </w:r>
          </w:p>
        </w:tc>
      </w:tr>
    </w:tbl>
    <w:p>
      <w:pPr>
        <w:pStyle w:val="Normal"/>
        <w:spacing w:before="60" w:after="60"/>
        <w:rPr/>
      </w:pPr>
      <w:r>
        <w:rPr/>
      </w:r>
    </w:p>
    <w:p>
      <w:pPr>
        <w:pStyle w:val="Normal"/>
        <w:spacing w:before="60" w:after="60"/>
        <w:rPr/>
      </w:pPr>
      <w:r>
        <w:rPr/>
      </w:r>
    </w:p>
    <w:p>
      <w:pPr>
        <w:pStyle w:val="Normal"/>
        <w:pBdr>
          <w:left w:val="single" w:sz="20" w:space="160" w:color="C85A00"/>
          <w:bottom w:val="single" w:sz="8" w:space="1" w:color="1A56A0"/>
        </w:pBdr>
        <w:spacing w:before="480" w:after="160"/>
        <w:ind w:start="240"/>
        <w:rPr/>
      </w:pPr>
      <w:r>
        <w:rPr>
          <w:rFonts w:eastAsia="Georgia" w:cs="Georgia" w:ascii="Georgia" w:hAnsi="Georgia"/>
          <w:b/>
          <w:bCs/>
          <w:color w:val="0D2240"/>
          <w:sz w:val="32"/>
          <w:szCs w:val="32"/>
        </w:rPr>
        <w:t>Question 1 — Problem Identification</w:t>
      </w:r>
    </w:p>
    <w:p>
      <w:pPr>
        <w:pStyle w:val="Normal"/>
        <w:spacing w:before="280" w:after="100"/>
        <w:rPr/>
      </w:pPr>
      <w:r>
        <w:rPr>
          <w:rFonts w:eastAsia="Calibri" w:cs="Calibri"/>
          <w:b/>
          <w:bCs/>
          <w:color w:val="1A56A0"/>
          <w:sz w:val="24"/>
          <w:szCs w:val="24"/>
        </w:rPr>
        <w:t>Q1a · Supervised or Unsupervised Learning?</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1A56A0"/>
              <w:start w:val="single" w:sz="24" w:space="0" w:color="1A56A0"/>
              <w:bottom w:val="single" w:sz="2" w:space="0" w:color="1A56A0"/>
            </w:tcBorders>
            <w:shd w:fill="EAF4FF" w:val="clear"/>
          </w:tcPr>
          <w:p>
            <w:pPr>
              <w:pStyle w:val="Normal"/>
              <w:spacing w:before="0" w:after="60"/>
              <w:rPr/>
            </w:pPr>
            <w:r>
              <w:rPr>
                <w:rFonts w:eastAsia="Calibri" w:cs="Calibri"/>
                <w:b/>
                <w:bCs/>
                <w:color w:val="1A56A0"/>
                <w:sz w:val="20"/>
                <w:szCs w:val="20"/>
              </w:rPr>
              <w:t>ANSWER: Supervised Learning</w:t>
            </w:r>
          </w:p>
          <w:p>
            <w:pPr>
              <w:pStyle w:val="Normal"/>
              <w:spacing w:before="0" w:after="0"/>
              <w:rPr/>
            </w:pPr>
            <w:r>
              <w:rPr>
                <w:rFonts w:eastAsia="Calibri" w:cs="Calibri"/>
                <w:i/>
                <w:iCs/>
                <w:color w:val="0D2240"/>
                <w:sz w:val="21"/>
                <w:szCs w:val="21"/>
              </w:rPr>
              <w:t>This is definitively a Supervised Learning problem. The dataset contains a clearly defined, pre-labeled target variable — will_churn_next_30d — which is set to 1 (churn) or 0 (active) for each pharmacy. The model learns a mapping from 42 behavioral, financial, and demographic features to this known label. There is no ambiguity in the output: we are training on historical examples with known outcomes to predict future pharmacy behavior.</w:t>
            </w:r>
          </w:p>
        </w:tc>
      </w:tr>
    </w:tbl>
    <w:p>
      <w:pPr>
        <w:pStyle w:val="Normal"/>
        <w:spacing w:before="60" w:after="60"/>
        <w:rPr/>
      </w:pPr>
      <w:r>
        <w:rPr/>
      </w:r>
    </w:p>
    <w:p>
      <w:pPr>
        <w:pStyle w:val="Normal"/>
        <w:spacing w:before="280" w:after="100"/>
        <w:rPr/>
      </w:pPr>
      <w:r>
        <w:rPr>
          <w:rFonts w:eastAsia="Calibri" w:cs="Calibri"/>
          <w:b/>
          <w:bCs/>
          <w:color w:val="1A56A0"/>
          <w:sz w:val="24"/>
          <w:szCs w:val="24"/>
        </w:rPr>
        <w:t>Q1b · Classification or Regression?</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1A56A0"/>
              <w:start w:val="single" w:sz="24" w:space="0" w:color="1A56A0"/>
              <w:bottom w:val="single" w:sz="2" w:space="0" w:color="1A56A0"/>
            </w:tcBorders>
            <w:shd w:fill="EAF4FF" w:val="clear"/>
          </w:tcPr>
          <w:p>
            <w:pPr>
              <w:pStyle w:val="Normal"/>
              <w:spacing w:before="0" w:after="60"/>
              <w:rPr/>
            </w:pPr>
            <w:r>
              <w:rPr>
                <w:rFonts w:eastAsia="Calibri" w:cs="Calibri"/>
                <w:b/>
                <w:bCs/>
                <w:color w:val="1A56A0"/>
                <w:sz w:val="20"/>
                <w:szCs w:val="20"/>
              </w:rPr>
              <w:t>ANSWER: Binary Classification</w:t>
            </w:r>
          </w:p>
          <w:p>
            <w:pPr>
              <w:pStyle w:val="Normal"/>
              <w:spacing w:before="0" w:after="0"/>
              <w:rPr/>
            </w:pPr>
            <w:r>
              <w:rPr>
                <w:rFonts w:eastAsia="Calibri" w:cs="Calibri"/>
                <w:i/>
                <w:iCs/>
                <w:color w:val="0D2240"/>
                <w:sz w:val="21"/>
                <w:szCs w:val="21"/>
              </w:rPr>
              <w:t>This is a Binary Classification problem. The target variable will_churn_next_30d takes only two discrete values — 1 (will churn) or 0 (will remain active). We are not predicting a continuous quantity like 'how many days until churn' or 'how much revenue will be lost.' Instead, we are assigning each pharmacy to one of two mutually exclusive categories. The output is a class label, making this a classic classification task.</w:t>
            </w:r>
          </w:p>
        </w:tc>
      </w:tr>
    </w:tbl>
    <w:p>
      <w:pPr>
        <w:pStyle w:val="Normal"/>
        <w:spacing w:before="60" w:after="60"/>
        <w:rPr/>
      </w:pPr>
      <w:r>
        <w:rPr/>
      </w:r>
    </w:p>
    <w:p>
      <w:pPr>
        <w:pStyle w:val="Normal"/>
        <w:spacing w:before="280" w:after="100"/>
        <w:rPr/>
      </w:pPr>
      <w:r>
        <w:rPr>
          <w:rFonts w:eastAsia="Calibri" w:cs="Calibri"/>
          <w:b/>
          <w:bCs/>
          <w:color w:val="1A56A0"/>
          <w:sz w:val="24"/>
          <w:szCs w:val="24"/>
        </w:rPr>
        <w:t>Q1c · ML Curriculum Category</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1A56A0"/>
              <w:start w:val="single" w:sz="24" w:space="0" w:color="1A56A0"/>
              <w:bottom w:val="single" w:sz="2" w:space="0" w:color="1A56A0"/>
            </w:tcBorders>
            <w:shd w:fill="EAF4FF" w:val="clear"/>
          </w:tcPr>
          <w:p>
            <w:pPr>
              <w:pStyle w:val="Normal"/>
              <w:spacing w:before="0" w:after="60"/>
              <w:rPr/>
            </w:pPr>
            <w:r>
              <w:rPr>
                <w:rFonts w:eastAsia="Calibri" w:cs="Calibri"/>
                <w:b/>
                <w:bCs/>
                <w:color w:val="1A56A0"/>
                <w:sz w:val="20"/>
                <w:szCs w:val="20"/>
              </w:rPr>
              <w:t>ANSWER: Supervised Learning → Binary Classification (Predictive Modeling)</w:t>
            </w:r>
          </w:p>
          <w:p>
            <w:pPr>
              <w:pStyle w:val="Normal"/>
              <w:spacing w:before="0" w:after="0"/>
              <w:rPr/>
            </w:pPr>
            <w:r>
              <w:rPr>
                <w:rFonts w:eastAsia="Calibri" w:cs="Calibri"/>
                <w:i/>
                <w:iCs/>
                <w:color w:val="0D2240"/>
                <w:sz w:val="21"/>
                <w:szCs w:val="21"/>
              </w:rPr>
              <w:t>Within this week's curriculum, this belongs to Supervised Learning — specifically Binary Classification under the Predictive Modeling category. It aligns with churn prediction use cases taught in the context of customer lifecycle analytics. The model will learn decision boundaries in 42-dimensional feature space to separate pharmacies that are likely to churn from those that are not. Ensemble methods like XGBoost or Random Forest are commonly used for such high-dimensional, class-imbalanced business problems.</w:t>
            </w:r>
          </w:p>
        </w:tc>
      </w:tr>
    </w:tbl>
    <w:p>
      <w:pPr>
        <w:pStyle w:val="Normal"/>
        <w:spacing w:before="60" w:after="60"/>
        <w:rPr/>
      </w:pPr>
      <w:r>
        <w:rPr/>
      </w:r>
    </w:p>
    <w:tbl>
      <w:tblPr>
        <w:tblW w:w="10060" w:type="dxa"/>
        <w:jc w:val="start"/>
        <w:tblInd w:w="0" w:type="dxa"/>
        <w:tblLayout w:type="fixed"/>
        <w:tblCellMar>
          <w:top w:w="80" w:type="dxa"/>
          <w:start w:w="140" w:type="dxa"/>
          <w:bottom w:w="80" w:type="dxa"/>
          <w:end w:w="140" w:type="dxa"/>
        </w:tblCellMar>
      </w:tblPr>
      <w:tblGrid>
        <w:gridCol w:w="2099"/>
        <w:gridCol w:w="2301"/>
        <w:gridCol w:w="5660"/>
      </w:tblGrid>
      <w:tr>
        <w:trPr/>
        <w:tc>
          <w:tcPr>
            <w:tcW w:w="20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Criterion</w:t>
            </w:r>
          </w:p>
        </w:tc>
        <w:tc>
          <w:tcPr>
            <w:tcW w:w="230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Answer</w:t>
            </w:r>
          </w:p>
        </w:tc>
        <w:tc>
          <w:tcPr>
            <w:tcW w:w="566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Justification</w:t>
            </w:r>
          </w:p>
        </w:tc>
      </w:tr>
      <w:tr>
        <w:trPr/>
        <w:tc>
          <w:tcPr>
            <w:tcW w:w="20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Learning Paradigm</w:t>
            </w:r>
          </w:p>
        </w:tc>
        <w:tc>
          <w:tcPr>
            <w:tcW w:w="23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Supervised Learning</w:t>
            </w:r>
          </w:p>
        </w:tc>
        <w:tc>
          <w:tcPr>
            <w:tcW w:w="566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Labeled target: will_churn_next_30d ∈ {0,1}</w:t>
            </w:r>
          </w:p>
        </w:tc>
      </w:tr>
      <w:tr>
        <w:trPr/>
        <w:tc>
          <w:tcPr>
            <w:tcW w:w="20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Task Type</w:t>
            </w:r>
          </w:p>
        </w:tc>
        <w:tc>
          <w:tcPr>
            <w:tcW w:w="230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Binary Classification</w:t>
            </w:r>
          </w:p>
        </w:tc>
        <w:tc>
          <w:tcPr>
            <w:tcW w:w="566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Output is a discrete 2-class label, not a number</w:t>
            </w:r>
          </w:p>
        </w:tc>
      </w:tr>
      <w:tr>
        <w:trPr/>
        <w:tc>
          <w:tcPr>
            <w:tcW w:w="20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ML Category</w:t>
            </w:r>
          </w:p>
        </w:tc>
        <w:tc>
          <w:tcPr>
            <w:tcW w:w="23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Predictive Churn Modeling</w:t>
            </w:r>
          </w:p>
        </w:tc>
        <w:tc>
          <w:tcPr>
            <w:tcW w:w="566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Learns pharmacy behavior → churn mapping from history</w:t>
            </w:r>
          </w:p>
        </w:tc>
      </w:tr>
      <w:tr>
        <w:trPr/>
        <w:tc>
          <w:tcPr>
            <w:tcW w:w="20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Input Space</w:t>
            </w:r>
          </w:p>
        </w:tc>
        <w:tc>
          <w:tcPr>
            <w:tcW w:w="230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42 Features</w:t>
            </w:r>
          </w:p>
        </w:tc>
        <w:tc>
          <w:tcPr>
            <w:tcW w:w="566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Behavioral + Financial + Engagement + Demographic</w:t>
            </w:r>
          </w:p>
        </w:tc>
      </w:tr>
      <w:tr>
        <w:trPr/>
        <w:tc>
          <w:tcPr>
            <w:tcW w:w="20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Output</w:t>
            </w:r>
          </w:p>
        </w:tc>
        <w:tc>
          <w:tcPr>
            <w:tcW w:w="23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Class Probability + Label</w:t>
            </w:r>
          </w:p>
        </w:tc>
        <w:tc>
          <w:tcPr>
            <w:tcW w:w="566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P(churn) → threshold → {0,1} decision</w:t>
            </w:r>
          </w:p>
        </w:tc>
      </w:tr>
    </w:tbl>
    <w:p>
      <w:pPr>
        <w:pStyle w:val="Normal"/>
        <w:spacing w:before="60" w:after="60"/>
        <w:rPr/>
      </w:pPr>
      <w:r>
        <w:rPr/>
      </w:r>
    </w:p>
    <w:p>
      <w:pPr>
        <w:pStyle w:val="Normal"/>
        <w:spacing w:before="60" w:after="60"/>
        <w:rPr/>
      </w:pPr>
      <w:r>
        <w:rPr/>
      </w:r>
    </w:p>
    <w:p>
      <w:pPr>
        <w:pStyle w:val="Normal"/>
        <w:pBdr>
          <w:left w:val="single" w:sz="20" w:space="160" w:color="C85A00"/>
          <w:bottom w:val="single" w:sz="8" w:space="1" w:color="1A56A0"/>
        </w:pBdr>
        <w:spacing w:before="480" w:after="160"/>
        <w:ind w:start="240"/>
        <w:rPr/>
      </w:pPr>
      <w:r>
        <w:rPr>
          <w:rFonts w:eastAsia="Georgia" w:cs="Georgia" w:ascii="Georgia" w:hAnsi="Georgia"/>
          <w:b/>
          <w:bCs/>
          <w:color w:val="0D2240"/>
          <w:sz w:val="32"/>
          <w:szCs w:val="32"/>
        </w:rPr>
        <w:t>Question 2 — The 5-Stage ML Pipeline</w:t>
      </w:r>
    </w:p>
    <w:p>
      <w:pPr>
        <w:pStyle w:val="Normal"/>
        <w:spacing w:before="80" w:after="80"/>
        <w:rPr/>
      </w:pPr>
      <w:r>
        <w:rPr>
          <w:rFonts w:eastAsia="Calibri" w:cs="Calibri"/>
          <w:i/>
          <w:iCs/>
          <w:color w:val="718096"/>
          <w:sz w:val="21"/>
          <w:szCs w:val="21"/>
        </w:rPr>
        <w:t>Each stage below describes the specific, concrete action Pharmalink must take — using actual column names from the dataset.</w:t>
      </w:r>
    </w:p>
    <w:p>
      <w:pPr>
        <w:pStyle w:val="Normal"/>
        <w:spacing w:before="60" w:after="60"/>
        <w:rPr/>
      </w:pPr>
      <w:r>
        <w:rPr/>
      </w:r>
    </w:p>
    <w:tbl>
      <w:tblPr>
        <w:tblW w:w="10080" w:type="dxa"/>
        <w:jc w:val="start"/>
        <w:tblInd w:w="0" w:type="dxa"/>
        <w:tblLayout w:type="fixed"/>
        <w:tblCellMar>
          <w:top w:w="80" w:type="dxa"/>
          <w:start w:w="140" w:type="dxa"/>
          <w:bottom w:w="80" w:type="dxa"/>
          <w:end w:w="140" w:type="dxa"/>
        </w:tblCellMar>
      </w:tblPr>
      <w:tblGrid>
        <w:gridCol w:w="1599"/>
        <w:gridCol w:w="8481"/>
      </w:tblGrid>
      <w:tr>
        <w:trPr/>
        <w:tc>
          <w:tcPr>
            <w:tcW w:w="15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Stage</w:t>
            </w:r>
          </w:p>
        </w:tc>
        <w:tc>
          <w:tcPr>
            <w:tcW w:w="848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Specific Action for Pharmalink</w:t>
            </w:r>
          </w:p>
        </w:tc>
      </w:tr>
      <w:tr>
        <w:trPr/>
        <w:tc>
          <w:tcPr>
            <w:tcW w:w="15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1 · Data Collection</w:t>
            </w:r>
          </w:p>
        </w:tc>
        <w:tc>
          <w:tcPr>
            <w:tcW w:w="848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Pull 15 months of transaction logs from the order management system and merge with the CRM. Ensure all 42 features are available per pharmacy_id: last_order_date, order_frequency_60d, avg_order_value, app_sessions_30d, credit_utilization_ratio, payment_delay_days, outstanding_amount, product_diversity_score, return_rate, complaints_logged, city_tier, years_of_operation, store_type. Flag the 15% inactive pharmacies and compute will_churn_next_30d = 1 for pharmacies with no order in the last 30 days.</w:t>
            </w:r>
          </w:p>
        </w:tc>
      </w:tr>
      <w:tr>
        <w:trPr/>
        <w:tc>
          <w:tcPr>
            <w:tcW w:w="15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2 · Data Preprocessing</w:t>
            </w:r>
          </w:p>
        </w:tc>
        <w:tc>
          <w:tcPr>
            <w:tcW w:w="848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Handle missing values in payment_delay_days (fill with median per city_tier), and cap outliers in avg_order_value at the 99th percentile to prevent Tier-1 hospital accounts from distorting model training. Encode store_type (independent/chain) as binary and apply ordinal encoding to city_tier (Tier-1=1, Tier-2=2, Tier-3=3). Normalize credit_utilization_ratio and outstanding_amount using MinMaxScaler. Address class imbalance using SMOTE — 85% active vs 15% churn is a skewed distribution.</w:t>
            </w:r>
          </w:p>
        </w:tc>
      </w:tr>
      <w:tr>
        <w:trPr/>
        <w:tc>
          <w:tcPr>
            <w:tcW w:w="15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3 · Model Training</w:t>
            </w:r>
          </w:p>
        </w:tc>
        <w:tc>
          <w:tcPr>
            <w:tcW w:w="848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Train an XGBoost Binary Classifier on 80% of the data (stratified split by city_tier to preserve tier distribution). Use order_frequency_60d, credit_utilization_ratio, app_sessions_30d, payment_delay_days, and product_diversity_score as the top 5 priority features based on domain knowledge. Tune class_weight to penalize missing true churners more than false alarms (align with CRO's risk tolerance). Use 5-fold cross-validation stratified on will_churn_next_30d.</w:t>
            </w:r>
          </w:p>
        </w:tc>
      </w:tr>
      <w:tr>
        <w:trPr/>
        <w:tc>
          <w:tcPr>
            <w:tcW w:w="15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4 · Model Evaluation</w:t>
            </w:r>
          </w:p>
        </w:tc>
        <w:tc>
          <w:tcPr>
            <w:tcW w:w="848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Evaluate using Recall (priority metric) and F1-Score rather than Accuracy alone — because 85% of pharmacies are active, a model predicting all-zeros achieves 85% accuracy without catching any churner. For high-value accounts (avg_order_value &gt; ₹5L), compute Recall separately: missing a ₹8L/month hospital account (like the CRO's example) is catastrophic. Use a Confusion Matrix to explicitly quantify False Negatives (missed churners). Set classification threshold at 0.3 instead of default 0.5 to maximize Recall.</w:t>
            </w:r>
          </w:p>
        </w:tc>
      </w:tr>
      <w:tr>
        <w:trPr/>
        <w:tc>
          <w:tcPr>
            <w:tcW w:w="15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5 · Deployment</w:t>
            </w:r>
          </w:p>
        </w:tc>
        <w:tc>
          <w:tcPr>
            <w:tcW w:w="848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Deploy a weekly batch scoring pipeline that scores all 1.5M pharmacies every Monday. Flag pharmacies with P(churn) &gt; 0.3 for retention outreach. Integrate predictions into the Pharmalink CRM and route high-value churn risks (avg_order_value &gt; ₹2L) directly to the Key Account Manager team. Display a Churn Risk Score (Low / Medium / High) on the sales dashboard. Retrain the model monthly as new order data flows in and monitor feature drift on order_frequency_60d and credit_utilization_ratio.</w:t>
            </w:r>
          </w:p>
        </w:tc>
      </w:tr>
    </w:tbl>
    <w:p>
      <w:pPr>
        <w:pStyle w:val="Normal"/>
        <w:spacing w:before="60" w:after="60"/>
        <w:rPr/>
      </w:pPr>
      <w:r>
        <w:rPr/>
      </w:r>
    </w:p>
    <w:p>
      <w:pPr>
        <w:pStyle w:val="Normal"/>
        <w:spacing w:before="60" w:after="60"/>
        <w:rPr/>
      </w:pPr>
      <w:r>
        <w:rPr/>
      </w:r>
    </w:p>
    <w:p>
      <w:pPr>
        <w:pStyle w:val="Normal"/>
        <w:pBdr>
          <w:left w:val="single" w:sz="20" w:space="160" w:color="C85A00"/>
          <w:bottom w:val="single" w:sz="8" w:space="1" w:color="1A56A0"/>
        </w:pBdr>
        <w:spacing w:before="480" w:after="160"/>
        <w:ind w:start="240"/>
        <w:rPr/>
      </w:pPr>
      <w:r>
        <w:rPr>
          <w:rFonts w:eastAsia="Georgia" w:cs="Georgia" w:ascii="Georgia" w:hAnsi="Georgia"/>
          <w:b/>
          <w:bCs/>
          <w:color w:val="0D2240"/>
          <w:sz w:val="32"/>
          <w:szCs w:val="32"/>
        </w:rPr>
        <w:t>Question 3 — Evaluation Strategy</w:t>
      </w:r>
    </w:p>
    <w:p>
      <w:pPr>
        <w:pStyle w:val="Normal"/>
        <w:spacing w:before="280" w:after="100"/>
        <w:rPr/>
      </w:pPr>
      <w:r>
        <w:rPr>
          <w:rFonts w:eastAsia="Calibri" w:cs="Calibri"/>
          <w:b/>
          <w:bCs/>
          <w:color w:val="1A56A0"/>
          <w:sz w:val="24"/>
          <w:szCs w:val="24"/>
        </w:rPr>
        <w:t>Should Pharmalink Prioritize Precision or Recall?</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85A00"/>
              <w:start w:val="single" w:sz="24" w:space="0" w:color="C85A00"/>
              <w:bottom w:val="single" w:sz="2" w:space="0" w:color="C85A00"/>
            </w:tcBorders>
            <w:shd w:fill="FFF8EC" w:val="clear"/>
          </w:tcPr>
          <w:p>
            <w:pPr>
              <w:pStyle w:val="Normal"/>
              <w:spacing w:before="0" w:after="60"/>
              <w:rPr/>
            </w:pPr>
            <w:r>
              <w:rPr>
                <w:rFonts w:eastAsia="Calibri" w:cs="Calibri"/>
                <w:b/>
                <w:bCs/>
                <w:color w:val="C85A00"/>
                <w:sz w:val="20"/>
                <w:szCs w:val="20"/>
              </w:rPr>
              <w:t>ANSWER: RECALL must be prioritized — especially for high-value accounts</w:t>
            </w:r>
          </w:p>
          <w:p>
            <w:pPr>
              <w:pStyle w:val="Normal"/>
              <w:spacing w:before="0" w:after="0"/>
              <w:rPr/>
            </w:pPr>
            <w:r>
              <w:rPr>
                <w:rFonts w:eastAsia="Calibri" w:cs="Calibri"/>
                <w:i/>
                <w:iCs/>
                <w:color w:val="0D2240"/>
                <w:sz w:val="21"/>
                <w:szCs w:val="21"/>
              </w:rPr>
              <w:t>"We can afford to call 500 pharmacies who were never going to churn. But if we lose a high-revenue hospital account placing ₹8 lakh monthly orders without warning, that's unacceptable." — Rohan Mehta, CRO</w:t>
            </w:r>
          </w:p>
        </w:tc>
      </w:tr>
    </w:tbl>
    <w:p>
      <w:pPr>
        <w:pStyle w:val="Normal"/>
        <w:spacing w:before="60" w:after="60"/>
        <w:rPr/>
      </w:pPr>
      <w:r>
        <w:rPr/>
      </w:r>
    </w:p>
    <w:p>
      <w:pPr>
        <w:pStyle w:val="Normal"/>
        <w:spacing w:before="280" w:after="100"/>
        <w:rPr/>
      </w:pPr>
      <w:r>
        <w:rPr>
          <w:rFonts w:eastAsia="Calibri" w:cs="Calibri"/>
          <w:b/>
          <w:bCs/>
          <w:color w:val="1A56A0"/>
          <w:sz w:val="24"/>
          <w:szCs w:val="24"/>
        </w:rPr>
        <w:t>Technical Explanation</w:t>
      </w:r>
    </w:p>
    <w:p>
      <w:pPr>
        <w:pStyle w:val="Normal"/>
        <w:spacing w:before="80" w:after="80"/>
        <w:rPr/>
      </w:pPr>
      <w:r>
        <w:rPr>
          <w:rFonts w:eastAsia="Calibri" w:cs="Calibri"/>
          <w:sz w:val="21"/>
          <w:szCs w:val="21"/>
        </w:rPr>
        <w:t>To understand why Recall is the correct priority, we must examine what Precision and Recall actually measure in this context:</w:t>
      </w:r>
    </w:p>
    <w:p>
      <w:pPr>
        <w:pStyle w:val="Normal"/>
        <w:spacing w:before="60" w:after="60"/>
        <w:rPr/>
      </w:pPr>
      <w:r>
        <w:rPr/>
      </w:r>
    </w:p>
    <w:tbl>
      <w:tblPr>
        <w:tblW w:w="9160" w:type="dxa"/>
        <w:jc w:val="start"/>
        <w:tblInd w:w="0" w:type="dxa"/>
        <w:tblLayout w:type="fixed"/>
        <w:tblCellMar>
          <w:top w:w="80" w:type="dxa"/>
          <w:start w:w="140" w:type="dxa"/>
          <w:bottom w:w="80" w:type="dxa"/>
          <w:end w:w="140" w:type="dxa"/>
        </w:tblCellMar>
      </w:tblPr>
      <w:tblGrid>
        <w:gridCol w:w="1399"/>
        <w:gridCol w:w="1901"/>
        <w:gridCol w:w="2799"/>
        <w:gridCol w:w="3061"/>
      </w:tblGrid>
      <w:tr>
        <w:trPr/>
        <w:tc>
          <w:tcPr>
            <w:tcW w:w="13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Metric</w:t>
            </w:r>
          </w:p>
        </w:tc>
        <w:tc>
          <w:tcPr>
            <w:tcW w:w="190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Formula</w:t>
            </w:r>
          </w:p>
        </w:tc>
        <w:tc>
          <w:tcPr>
            <w:tcW w:w="27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What It Measures</w:t>
            </w:r>
          </w:p>
        </w:tc>
        <w:tc>
          <w:tcPr>
            <w:tcW w:w="306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Pharmalink Implication</w:t>
            </w:r>
          </w:p>
        </w:tc>
      </w:tr>
      <w:tr>
        <w:trPr/>
        <w:tc>
          <w:tcPr>
            <w:tcW w:w="13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Precision</w:t>
            </w:r>
          </w:p>
        </w:tc>
        <w:tc>
          <w:tcPr>
            <w:tcW w:w="19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TP / (TP + FP)</w:t>
            </w:r>
          </w:p>
        </w:tc>
        <w:tc>
          <w:tcPr>
            <w:tcW w:w="27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Of all pharmacies we predicted will churn, how many actually churned?</w:t>
            </w:r>
          </w:p>
        </w:tc>
        <w:tc>
          <w:tcPr>
            <w:tcW w:w="306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If low: We call pharmacies unnecessarily. Cost = wasted sales calls.</w:t>
            </w:r>
          </w:p>
        </w:tc>
      </w:tr>
      <w:tr>
        <w:trPr/>
        <w:tc>
          <w:tcPr>
            <w:tcW w:w="13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Recall</w:t>
            </w:r>
          </w:p>
        </w:tc>
        <w:tc>
          <w:tcPr>
            <w:tcW w:w="190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TP / (TP + FN)</w:t>
            </w:r>
          </w:p>
        </w:tc>
        <w:tc>
          <w:tcPr>
            <w:tcW w:w="27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Of all pharmacies that actually churned, how many did we catch?</w:t>
            </w:r>
          </w:p>
        </w:tc>
        <w:tc>
          <w:tcPr>
            <w:tcW w:w="306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If low: We MISS real churners. Cost = lost revenue, broken relationships.</w:t>
            </w:r>
          </w:p>
        </w:tc>
      </w:tr>
      <w:tr>
        <w:trPr/>
        <w:tc>
          <w:tcPr>
            <w:tcW w:w="13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False Positive</w:t>
            </w:r>
          </w:p>
        </w:tc>
        <w:tc>
          <w:tcPr>
            <w:tcW w:w="19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Predicted Churn, Actually Active</w:t>
            </w:r>
          </w:p>
        </w:tc>
        <w:tc>
          <w:tcPr>
            <w:tcW w:w="27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We call a pharmacy that was fine</w:t>
            </w:r>
          </w:p>
        </w:tc>
        <w:tc>
          <w:tcPr>
            <w:tcW w:w="306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Wasted call. Minor cost.</w:t>
            </w:r>
          </w:p>
        </w:tc>
      </w:tr>
      <w:tr>
        <w:trPr/>
        <w:tc>
          <w:tcPr>
            <w:tcW w:w="13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False Negative</w:t>
            </w:r>
          </w:p>
        </w:tc>
        <w:tc>
          <w:tcPr>
            <w:tcW w:w="190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Predicted Active, Actually Churned</w:t>
            </w:r>
          </w:p>
        </w:tc>
        <w:tc>
          <w:tcPr>
            <w:tcW w:w="27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We MISS a pharmacy that churned</w:t>
            </w:r>
          </w:p>
        </w:tc>
        <w:tc>
          <w:tcPr>
            <w:tcW w:w="306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Lost account. Potentially ₹8L/month gone silently. Catastrophic.</w:t>
            </w:r>
          </w:p>
        </w:tc>
      </w:tr>
    </w:tbl>
    <w:p>
      <w:pPr>
        <w:pStyle w:val="Normal"/>
        <w:spacing w:before="60" w:after="60"/>
        <w:rPr/>
      </w:pPr>
      <w:r>
        <w:rPr/>
      </w:r>
    </w:p>
    <w:p>
      <w:pPr>
        <w:pStyle w:val="Normal"/>
        <w:spacing w:before="280" w:after="100"/>
        <w:rPr/>
      </w:pPr>
      <w:r>
        <w:rPr>
          <w:rFonts w:eastAsia="Calibri" w:cs="Calibri"/>
          <w:b/>
          <w:bCs/>
          <w:color w:val="1A56A0"/>
          <w:sz w:val="24"/>
          <w:szCs w:val="24"/>
        </w:rPr>
        <w:t>Business Trade-off Analysis</w:t>
      </w:r>
    </w:p>
    <w:p>
      <w:pPr>
        <w:pStyle w:val="ListParagraph"/>
        <w:numPr>
          <w:ilvl w:val="0"/>
          <w:numId w:val="3"/>
        </w:numPr>
        <w:spacing w:before="70" w:after="70"/>
        <w:ind w:hanging="360" w:start="720"/>
        <w:rPr/>
      </w:pPr>
      <w:r>
        <w:rPr>
          <w:rFonts w:eastAsia="Calibri" w:cs="Calibri"/>
          <w:color w:val="4A5568"/>
          <w:sz w:val="21"/>
          <w:szCs w:val="21"/>
        </w:rPr>
        <w:t>Cost of False Positive (low Precision): Pharmalink calls ~500 pharmacies that were never going to churn. Sales team makes unnecessary outreach calls. Estimated cost: ₹500–₹2,000 per call in sales resource time. Total: moderate and recoverable.</w:t>
      </w:r>
    </w:p>
    <w:p>
      <w:pPr>
        <w:pStyle w:val="ListParagraph"/>
        <w:numPr>
          <w:ilvl w:val="0"/>
          <w:numId w:val="1"/>
        </w:numPr>
        <w:spacing w:before="70" w:after="70"/>
        <w:ind w:hanging="360" w:start="720"/>
        <w:rPr/>
      </w:pPr>
      <w:r>
        <w:rPr>
          <w:rFonts w:eastAsia="Calibri" w:cs="Calibri"/>
          <w:color w:val="4A5568"/>
          <w:sz w:val="21"/>
          <w:szCs w:val="21"/>
        </w:rPr>
        <w:t>Cost of False Negative (low Recall): A high-revenue hospital ordering ₹8L/month silently stops reordering. No alert is triggered. Account is lost before intervention is possible. Revenue loss: ₹8L–₹96L/year per account. Reputational damage: competitor wins the account. This is catastrophic and often permanent.</w:t>
      </w:r>
    </w:p>
    <w:p>
      <w:pPr>
        <w:pStyle w:val="ListParagraph"/>
        <w:numPr>
          <w:ilvl w:val="0"/>
          <w:numId w:val="1"/>
        </w:numPr>
        <w:spacing w:before="70" w:after="70"/>
        <w:ind w:hanging="360" w:start="720"/>
        <w:rPr/>
      </w:pPr>
      <w:r>
        <w:rPr>
          <w:rFonts w:eastAsia="Calibri" w:cs="Calibri"/>
          <w:color w:val="4A5568"/>
          <w:sz w:val="21"/>
          <w:szCs w:val="21"/>
        </w:rPr>
        <w:t>CRO's stated tolerance: 'We can afford to call 500 pharmacies who were never going to churn' — this explicitly accepts lower Precision (some false positives are okay) as long as Recall is high (no real churner should be missed).</w:t>
      </w:r>
    </w:p>
    <w:p>
      <w:pPr>
        <w:pStyle w:val="Normal"/>
        <w:spacing w:before="60" w:after="60"/>
        <w:rPr/>
      </w:pPr>
      <w:r>
        <w:rPr/>
      </w:r>
    </w:p>
    <w:tbl>
      <w:tblPr>
        <w:tblW w:w="10100" w:type="dxa"/>
        <w:jc w:val="start"/>
        <w:tblInd w:w="0" w:type="dxa"/>
        <w:tblLayout w:type="fixed"/>
        <w:tblCellMar>
          <w:top w:w="80" w:type="dxa"/>
          <w:start w:w="140" w:type="dxa"/>
          <w:bottom w:w="80" w:type="dxa"/>
          <w:end w:w="140" w:type="dxa"/>
        </w:tblCellMar>
      </w:tblPr>
      <w:tblGrid>
        <w:gridCol w:w="2699"/>
        <w:gridCol w:w="1440"/>
        <w:gridCol w:w="1441"/>
        <w:gridCol w:w="4520"/>
      </w:tblGrid>
      <w:tr>
        <w:trPr/>
        <w:tc>
          <w:tcPr>
            <w:tcW w:w="26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Scenario</w:t>
            </w:r>
          </w:p>
        </w:tc>
        <w:tc>
          <w:tcPr>
            <w:tcW w:w="144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Precision</w:t>
            </w:r>
          </w:p>
        </w:tc>
        <w:tc>
          <w:tcPr>
            <w:tcW w:w="144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Recall</w:t>
            </w:r>
          </w:p>
        </w:tc>
        <w:tc>
          <w:tcPr>
            <w:tcW w:w="452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Business Outcome</w:t>
            </w:r>
          </w:p>
        </w:tc>
      </w:tr>
      <w:tr>
        <w:trPr/>
        <w:tc>
          <w:tcPr>
            <w:tcW w:w="26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High Precision, Low Recall</w:t>
            </w:r>
          </w:p>
        </w:tc>
        <w:tc>
          <w:tcPr>
            <w:tcW w:w="144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90%</w:t>
            </w:r>
          </w:p>
        </w:tc>
        <w:tc>
          <w:tcPr>
            <w:tcW w:w="144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50%</w:t>
            </w:r>
          </w:p>
        </w:tc>
        <w:tc>
          <w:tcPr>
            <w:tcW w:w="452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Only call confirmed churners, but miss 50% of real churners → Silent losses</w:t>
            </w:r>
          </w:p>
        </w:tc>
      </w:tr>
      <w:tr>
        <w:trPr/>
        <w:tc>
          <w:tcPr>
            <w:tcW w:w="26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Low Precision, High Recall</w:t>
            </w:r>
          </w:p>
        </w:tc>
        <w:tc>
          <w:tcPr>
            <w:tcW w:w="144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40%</w:t>
            </w:r>
          </w:p>
        </w:tc>
        <w:tc>
          <w:tcPr>
            <w:tcW w:w="144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90%</w:t>
            </w:r>
          </w:p>
        </w:tc>
        <w:tc>
          <w:tcPr>
            <w:tcW w:w="452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Call many pharmacies unnecessarily, but catch 90% of real churners → Acceptable</w:t>
            </w:r>
          </w:p>
        </w:tc>
      </w:tr>
      <w:tr>
        <w:trPr/>
        <w:tc>
          <w:tcPr>
            <w:tcW w:w="26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Balanced F1</w:t>
            </w:r>
          </w:p>
        </w:tc>
        <w:tc>
          <w:tcPr>
            <w:tcW w:w="144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70%</w:t>
            </w:r>
          </w:p>
        </w:tc>
        <w:tc>
          <w:tcPr>
            <w:tcW w:w="144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75%</w:t>
            </w:r>
          </w:p>
        </w:tc>
        <w:tc>
          <w:tcPr>
            <w:tcW w:w="452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Middle ground — may still miss high-value accounts</w:t>
            </w:r>
          </w:p>
        </w:tc>
      </w:tr>
      <w:tr>
        <w:trPr/>
        <w:tc>
          <w:tcPr>
            <w:tcW w:w="26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Tier-segmented model</w:t>
            </w:r>
          </w:p>
        </w:tc>
        <w:tc>
          <w:tcPr>
            <w:tcW w:w="144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80%</w:t>
            </w:r>
          </w:p>
        </w:tc>
        <w:tc>
          <w:tcPr>
            <w:tcW w:w="144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92%</w:t>
            </w:r>
          </w:p>
        </w:tc>
        <w:tc>
          <w:tcPr>
            <w:tcW w:w="452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High Recall for Tier-1/hospital accounts — RECOMMENDED approach</w:t>
            </w:r>
          </w:p>
        </w:tc>
      </w:tr>
    </w:tbl>
    <w:p>
      <w:pPr>
        <w:pStyle w:val="Normal"/>
        <w:spacing w:before="60" w:after="60"/>
        <w:rPr/>
      </w:pPr>
      <w:r>
        <w:rPr/>
      </w:r>
    </w:p>
    <w:p>
      <w:pPr>
        <w:pStyle w:val="Normal"/>
        <w:spacing w:before="280" w:after="100"/>
        <w:rPr/>
      </w:pPr>
      <w:r>
        <w:rPr>
          <w:rFonts w:eastAsia="Calibri" w:cs="Calibri"/>
          <w:b/>
          <w:bCs/>
          <w:color w:val="1A56A0"/>
          <w:sz w:val="24"/>
          <w:szCs w:val="24"/>
        </w:rPr>
        <w:t>Recommended Threshold Strategy</w:t>
      </w:r>
    </w:p>
    <w:p>
      <w:pPr>
        <w:pStyle w:val="Normal"/>
        <w:spacing w:before="80" w:after="80"/>
        <w:rPr/>
      </w:pPr>
      <w:r>
        <w:rPr>
          <w:rFonts w:eastAsia="Calibri" w:cs="Calibri"/>
          <w:sz w:val="21"/>
          <w:szCs w:val="21"/>
        </w:rPr>
        <w:t>Set the classification threshold to 0.3 instead of the default 0.5. This shifts the decision boundary to flag more pharmacies as 'at risk,' increasing Recall at the expense of Precision — exactly the trade-off the CRO has authorized.</w:t>
      </w:r>
    </w:p>
    <w:p>
      <w:pPr>
        <w:pStyle w:val="Normal"/>
        <w:shd w:val="clear" w:fill="FDF6EC"/>
        <w:spacing w:before="40" w:after="40"/>
        <w:ind w:start="560"/>
        <w:rPr/>
      </w:pPr>
      <w:r>
        <w:rPr>
          <w:rFonts w:eastAsia="Courier New" w:cs="Courier New" w:ascii="Courier New" w:hAnsi="Courier New"/>
          <w:color w:val="C0392B"/>
          <w:sz w:val="18"/>
          <w:szCs w:val="18"/>
        </w:rPr>
        <w:t># Adjust threshold for high Recall</w:t>
      </w:r>
    </w:p>
    <w:p>
      <w:pPr>
        <w:pStyle w:val="Normal"/>
        <w:shd w:val="clear" w:fill="FDF6EC"/>
        <w:spacing w:before="40" w:after="40"/>
        <w:ind w:start="560"/>
        <w:rPr/>
      </w:pPr>
      <w:r>
        <w:rPr>
          <w:rFonts w:eastAsia="Courier New" w:cs="Courier New" w:ascii="Courier New" w:hAnsi="Courier New"/>
          <w:color w:val="C0392B"/>
          <w:sz w:val="18"/>
          <w:szCs w:val="18"/>
        </w:rPr>
        <w:t>threshold = 0.30</w:t>
      </w:r>
    </w:p>
    <w:p>
      <w:pPr>
        <w:pStyle w:val="Normal"/>
        <w:shd w:val="clear" w:fill="FDF6EC"/>
        <w:spacing w:before="40" w:after="40"/>
        <w:ind w:start="560"/>
        <w:rPr/>
      </w:pPr>
      <w:r>
        <w:rPr>
          <w:rFonts w:eastAsia="Courier New" w:cs="Courier New" w:ascii="Courier New" w:hAnsi="Courier New"/>
          <w:color w:val="C0392B"/>
          <w:sz w:val="18"/>
          <w:szCs w:val="18"/>
        </w:rPr>
        <w:t>y_pred = (model.predict_proba(X_test)[:,1] &gt;= threshold).astype(int)</w:t>
      </w:r>
    </w:p>
    <w:p>
      <w:pPr>
        <w:pStyle w:val="Normal"/>
        <w:shd w:val="clear" w:fill="FDF6EC"/>
        <w:spacing w:before="40" w:after="40"/>
        <w:ind w:start="560"/>
        <w:rPr/>
      </w:pPr>
      <w:r>
        <w:rPr/>
      </w:r>
    </w:p>
    <w:p>
      <w:pPr>
        <w:pStyle w:val="Normal"/>
        <w:shd w:val="clear" w:fill="FDF6EC"/>
        <w:spacing w:before="40" w:after="40"/>
        <w:ind w:start="560"/>
        <w:rPr/>
      </w:pPr>
      <w:r>
        <w:rPr>
          <w:rFonts w:eastAsia="Courier New" w:cs="Courier New" w:ascii="Courier New" w:hAnsi="Courier New"/>
          <w:color w:val="C0392B"/>
          <w:sz w:val="18"/>
          <w:szCs w:val="18"/>
        </w:rPr>
        <w:t># For high-value accounts (avg_order_value &gt; 2 lakh), use even lower threshold</w:t>
      </w:r>
    </w:p>
    <w:p>
      <w:pPr>
        <w:pStyle w:val="Normal"/>
        <w:shd w:val="clear" w:fill="FDF6EC"/>
        <w:spacing w:before="40" w:after="40"/>
        <w:ind w:start="560"/>
        <w:rPr/>
      </w:pPr>
      <w:r>
        <w:rPr>
          <w:rFonts w:eastAsia="Courier New" w:cs="Courier New" w:ascii="Courier New" w:hAnsi="Courier New"/>
          <w:color w:val="C0392B"/>
          <w:sz w:val="18"/>
          <w:szCs w:val="18"/>
        </w:rPr>
        <w:t>high_value_mask = X_test['avg_order_value'] &gt; 200000</w:t>
      </w:r>
    </w:p>
    <w:p>
      <w:pPr>
        <w:pStyle w:val="Normal"/>
        <w:shd w:val="clear" w:fill="FDF6EC"/>
        <w:spacing w:before="40" w:after="40"/>
        <w:ind w:start="560"/>
        <w:rPr/>
      </w:pPr>
      <w:r>
        <w:rPr>
          <w:rFonts w:eastAsia="Courier New" w:cs="Courier New" w:ascii="Courier New" w:hAnsi="Courier New"/>
          <w:color w:val="C0392B"/>
          <w:sz w:val="18"/>
          <w:szCs w:val="18"/>
        </w:rPr>
        <w:t>y_pred_hv = (proba[high_value_mask] &gt;= 0.20).astype(int)</w:t>
      </w:r>
    </w:p>
    <w:p>
      <w:pPr>
        <w:pStyle w:val="Normal"/>
        <w:spacing w:before="60" w:after="60"/>
        <w:rPr/>
      </w:pPr>
      <w:r>
        <w:rPr/>
      </w:r>
    </w:p>
    <w:p>
      <w:pPr>
        <w:pStyle w:val="Normal"/>
        <w:spacing w:before="60" w:after="60"/>
        <w:rPr/>
      </w:pPr>
      <w:r>
        <w:rPr/>
      </w:r>
    </w:p>
    <w:p>
      <w:pPr>
        <w:pStyle w:val="Normal"/>
        <w:pBdr>
          <w:left w:val="single" w:sz="20" w:space="160" w:color="C85A00"/>
          <w:bottom w:val="single" w:sz="8" w:space="1" w:color="1A56A0"/>
        </w:pBdr>
        <w:spacing w:before="480" w:after="160"/>
        <w:ind w:start="240"/>
        <w:rPr/>
      </w:pPr>
      <w:r>
        <w:rPr>
          <w:rFonts w:eastAsia="Georgia" w:cs="Georgia" w:ascii="Georgia" w:hAnsi="Georgia"/>
          <w:b/>
          <w:bCs/>
          <w:color w:val="0D2240"/>
          <w:sz w:val="32"/>
          <w:szCs w:val="32"/>
        </w:rPr>
        <w:t>Question 4 — Advanced Thinking: Handling Tier Heterogeneity</w:t>
      </w:r>
    </w:p>
    <w:p>
      <w:pPr>
        <w:pStyle w:val="Normal"/>
        <w:spacing w:before="280" w:after="100"/>
        <w:rPr/>
      </w:pPr>
      <w:r>
        <w:rPr>
          <w:rFonts w:eastAsia="Calibri" w:cs="Calibri"/>
          <w:b/>
          <w:bCs/>
          <w:color w:val="1A56A0"/>
          <w:sz w:val="24"/>
          <w:szCs w:val="24"/>
        </w:rPr>
        <w:t>The Core Problem</w:t>
      </w:r>
    </w:p>
    <w:p>
      <w:pPr>
        <w:pStyle w:val="Normal"/>
        <w:spacing w:before="80" w:after="80"/>
        <w:rPr/>
      </w:pPr>
      <w:r>
        <w:rPr>
          <w:rFonts w:eastAsia="Calibri" w:cs="Calibri"/>
          <w:sz w:val="21"/>
          <w:szCs w:val="21"/>
        </w:rPr>
        <w:t>The 30-day inactivity window that defines churn was designed around Tier-1 pharmacy behavior — frequent, smaller orders. Applying it uniformly to Tier-3 pharmacies creates systematic label noise: a Tier-3 pharmacy that makes bulk orders every 45–60 days will be incorrectly labeled as 'churned' even though it is perfectly healthy. This is a fundamental data validity problem, not merely a modeling problem.</w:t>
      </w:r>
    </w:p>
    <w:p>
      <w:pPr>
        <w:pStyle w:val="Normal"/>
        <w:spacing w:before="60" w:after="60"/>
        <w:rPr/>
      </w:pPr>
      <w:r>
        <w:rPr/>
      </w:r>
    </w:p>
    <w:tbl>
      <w:tblPr>
        <w:tblW w:w="9160" w:type="dxa"/>
        <w:jc w:val="start"/>
        <w:tblInd w:w="0" w:type="dxa"/>
        <w:tblLayout w:type="fixed"/>
        <w:tblCellMar>
          <w:top w:w="80" w:type="dxa"/>
          <w:start w:w="140" w:type="dxa"/>
          <w:bottom w:w="80" w:type="dxa"/>
          <w:end w:w="140" w:type="dxa"/>
        </w:tblCellMar>
      </w:tblPr>
      <w:tblGrid>
        <w:gridCol w:w="1600"/>
        <w:gridCol w:w="2599"/>
        <w:gridCol w:w="2801"/>
        <w:gridCol w:w="2160"/>
      </w:tblGrid>
      <w:tr>
        <w:trPr/>
        <w:tc>
          <w:tcPr>
            <w:tcW w:w="160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Pharmacy Tier</w:t>
            </w:r>
          </w:p>
        </w:tc>
        <w:tc>
          <w:tcPr>
            <w:tcW w:w="25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Order Pattern</w:t>
            </w:r>
          </w:p>
        </w:tc>
        <w:tc>
          <w:tcPr>
            <w:tcW w:w="280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30-Day Window Validity</w:t>
            </w:r>
          </w:p>
        </w:tc>
        <w:tc>
          <w:tcPr>
            <w:tcW w:w="216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Risk of Mislabeling</w:t>
            </w:r>
          </w:p>
        </w:tc>
      </w:tr>
      <w:tr>
        <w:trPr/>
        <w:tc>
          <w:tcPr>
            <w:tcW w:w="160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Tier-1 (Urban)</w:t>
            </w:r>
          </w:p>
        </w:tc>
        <w:tc>
          <w:tcPr>
            <w:tcW w:w="25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Frequent, small orders (weekly/biweekly)</w:t>
            </w:r>
          </w:p>
        </w:tc>
        <w:tc>
          <w:tcPr>
            <w:tcW w:w="28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Valid — 30-day gap is genuinely abnormal</w:t>
            </w:r>
          </w:p>
        </w:tc>
        <w:tc>
          <w:tcPr>
            <w:tcW w:w="216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Low</w:t>
            </w:r>
          </w:p>
        </w:tc>
      </w:tr>
      <w:tr>
        <w:trPr/>
        <w:tc>
          <w:tcPr>
            <w:tcW w:w="160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Tier-2 (Semi-urban)</w:t>
            </w:r>
          </w:p>
        </w:tc>
        <w:tc>
          <w:tcPr>
            <w:tcW w:w="25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Monthly bulk orders</w:t>
            </w:r>
          </w:p>
        </w:tc>
        <w:tc>
          <w:tcPr>
            <w:tcW w:w="280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Borderline — 30-day gap may be normal cycle</w:t>
            </w:r>
          </w:p>
        </w:tc>
        <w:tc>
          <w:tcPr>
            <w:tcW w:w="216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Medium</w:t>
            </w:r>
          </w:p>
        </w:tc>
      </w:tr>
      <w:tr>
        <w:trPr/>
        <w:tc>
          <w:tcPr>
            <w:tcW w:w="160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Tier-3 (Rural)</w:t>
            </w:r>
          </w:p>
        </w:tc>
        <w:tc>
          <w:tcPr>
            <w:tcW w:w="25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Large, infrequent bulk orders (45–90 days)</w:t>
            </w:r>
          </w:p>
        </w:tc>
        <w:tc>
          <w:tcPr>
            <w:tcW w:w="280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Invalid — 30-day gap is routine, not churn</w:t>
            </w:r>
          </w:p>
        </w:tc>
        <w:tc>
          <w:tcPr>
            <w:tcW w:w="216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High — Many false churners</w:t>
            </w:r>
          </w:p>
        </w:tc>
      </w:tr>
    </w:tbl>
    <w:p>
      <w:pPr>
        <w:pStyle w:val="Normal"/>
        <w:spacing w:before="60" w:after="60"/>
        <w:rPr/>
      </w:pPr>
      <w:r>
        <w:rPr/>
      </w:r>
    </w:p>
    <w:p>
      <w:pPr>
        <w:pStyle w:val="Normal"/>
        <w:spacing w:before="280" w:after="100"/>
        <w:rPr/>
      </w:pPr>
      <w:r>
        <w:rPr>
          <w:rFonts w:eastAsia="Calibri" w:cs="Calibri"/>
          <w:b/>
          <w:bCs/>
          <w:color w:val="1A56A0"/>
          <w:sz w:val="24"/>
          <w:szCs w:val="24"/>
        </w:rPr>
        <w:t>Recommended Approach: Tiered Modeling Strategy</w:t>
      </w:r>
    </w:p>
    <w:p>
      <w:pPr>
        <w:pStyle w:val="Normal"/>
        <w:spacing w:before="80" w:after="80"/>
        <w:rPr/>
      </w:pPr>
      <w:r>
        <w:rPr>
          <w:rFonts w:eastAsia="Calibri" w:cs="Calibri"/>
          <w:sz w:val="21"/>
          <w:szCs w:val="21"/>
        </w:rPr>
        <w:t>The best solution is a hybrid of all three approaches mentioned, applied in a structured way:</w:t>
      </w:r>
    </w:p>
    <w:p>
      <w:pPr>
        <w:pStyle w:val="Normal"/>
        <w:spacing w:before="60" w:after="60"/>
        <w:rPr/>
      </w:pPr>
      <w:r>
        <w:rPr/>
      </w:r>
    </w:p>
    <w:p>
      <w:pPr>
        <w:pStyle w:val="Normal"/>
        <w:spacing w:before="280" w:after="100"/>
        <w:rPr/>
      </w:pPr>
      <w:r>
        <w:rPr>
          <w:rFonts w:eastAsia="Calibri" w:cs="Calibri"/>
          <w:b/>
          <w:bCs/>
          <w:color w:val="1A56A0"/>
          <w:sz w:val="24"/>
          <w:szCs w:val="24"/>
        </w:rPr>
        <w:t>Option A · Tier-Specific Churn Definition (Do This First)</w:t>
      </w:r>
    </w:p>
    <w:p>
      <w:pPr>
        <w:pStyle w:val="Normal"/>
        <w:spacing w:before="80" w:after="80"/>
        <w:rPr/>
      </w:pPr>
      <w:r>
        <w:rPr>
          <w:rFonts w:eastAsia="Calibri" w:cs="Calibri"/>
          <w:sz w:val="21"/>
          <w:szCs w:val="21"/>
        </w:rPr>
        <w:t>Before any modeling, fix the label definition per city_tier. This is not a modeling choice — it is a data quality requirement:</w:t>
      </w:r>
    </w:p>
    <w:p>
      <w:pPr>
        <w:pStyle w:val="Normal"/>
        <w:shd w:val="clear" w:fill="FDF6EC"/>
        <w:spacing w:before="40" w:after="40"/>
        <w:ind w:start="560"/>
        <w:rPr/>
      </w:pPr>
      <w:r>
        <w:rPr>
          <w:rFonts w:eastAsia="Courier New" w:cs="Courier New" w:ascii="Courier New" w:hAnsi="Courier New"/>
          <w:color w:val="C0392B"/>
          <w:sz w:val="18"/>
          <w:szCs w:val="18"/>
        </w:rPr>
        <w:t># Redefine churn threshold per city_tier</w:t>
      </w:r>
    </w:p>
    <w:p>
      <w:pPr>
        <w:pStyle w:val="Normal"/>
        <w:shd w:val="clear" w:fill="FDF6EC"/>
        <w:spacing w:before="40" w:after="40"/>
        <w:ind w:start="560"/>
        <w:rPr/>
      </w:pPr>
      <w:r>
        <w:rPr>
          <w:rFonts w:eastAsia="Courier New" w:cs="Courier New" w:ascii="Courier New" w:hAnsi="Courier New"/>
          <w:color w:val="C0392B"/>
          <w:sz w:val="18"/>
          <w:szCs w:val="18"/>
        </w:rPr>
        <w:t>def assign_churn_label(row):</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if row['city_tier'] == 1:</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return 1 if row['days_since_last_order'] &gt; 30 else 0</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elif row['city_tier'] == 2:</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return 1 if row['days_since_last_order'] &gt; 45 else 0</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else:  # Tier-3</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return 1 if row['days_since_last_order'] &gt; 75 else 0</w:t>
      </w:r>
    </w:p>
    <w:p>
      <w:pPr>
        <w:pStyle w:val="Normal"/>
        <w:shd w:val="clear" w:fill="FDF6EC"/>
        <w:spacing w:before="40" w:after="40"/>
        <w:ind w:start="560"/>
        <w:rPr/>
      </w:pPr>
      <w:r>
        <w:rPr/>
      </w:r>
    </w:p>
    <w:p>
      <w:pPr>
        <w:pStyle w:val="Normal"/>
        <w:shd w:val="clear" w:fill="FDF6EC"/>
        <w:spacing w:before="40" w:after="40"/>
        <w:ind w:start="560"/>
        <w:rPr/>
      </w:pPr>
      <w:r>
        <w:rPr>
          <w:rFonts w:eastAsia="Courier New" w:cs="Courier New" w:ascii="Courier New" w:hAnsi="Courier New"/>
          <w:color w:val="C0392B"/>
          <w:sz w:val="18"/>
          <w:szCs w:val="18"/>
        </w:rPr>
        <w:t>df['will_churn_next_30d'] = df.apply(assign_churn_label, axis=1)</w:t>
      </w:r>
    </w:p>
    <w:p>
      <w:pPr>
        <w:pStyle w:val="Normal"/>
        <w:spacing w:before="60" w:after="60"/>
        <w:rPr/>
      </w:pPr>
      <w:r>
        <w:rPr/>
      </w:r>
    </w:p>
    <w:p>
      <w:pPr>
        <w:pStyle w:val="Normal"/>
        <w:spacing w:before="280" w:after="100"/>
        <w:rPr/>
      </w:pPr>
      <w:r>
        <w:rPr>
          <w:rFonts w:eastAsia="Calibri" w:cs="Calibri"/>
          <w:b/>
          <w:bCs/>
          <w:color w:val="1A56A0"/>
          <w:sz w:val="24"/>
          <w:szCs w:val="24"/>
        </w:rPr>
        <w:t>Option B · Train Separate Models per City Tier</w:t>
      </w:r>
    </w:p>
    <w:p>
      <w:pPr>
        <w:pStyle w:val="Normal"/>
        <w:spacing w:before="80" w:after="80"/>
        <w:rPr/>
      </w:pPr>
      <w:r>
        <w:rPr>
          <w:rFonts w:eastAsia="Calibri" w:cs="Calibri"/>
          <w:sz w:val="21"/>
          <w:szCs w:val="21"/>
        </w:rPr>
        <w:t>After fixing labels, train three separate models — one per city_tier. Separate models allow each model to learn the distinct behavioral grammar of its pharmacy population without the signals from one tier contaminating the other:</w:t>
      </w:r>
    </w:p>
    <w:p>
      <w:pPr>
        <w:pStyle w:val="ListParagraph"/>
        <w:numPr>
          <w:ilvl w:val="0"/>
          <w:numId w:val="1"/>
        </w:numPr>
        <w:spacing w:before="70" w:after="70"/>
        <w:ind w:hanging="360" w:start="720"/>
        <w:rPr/>
      </w:pPr>
      <w:r>
        <w:rPr>
          <w:rFonts w:eastAsia="Calibri" w:cs="Calibri"/>
          <w:color w:val="4A5568"/>
          <w:sz w:val="21"/>
          <w:szCs w:val="21"/>
        </w:rPr>
        <w:t>Tier-1 model: Prioritize order_frequency_60d, app_sessions_30d — frequent engagement signals matter here.</w:t>
      </w:r>
    </w:p>
    <w:p>
      <w:pPr>
        <w:pStyle w:val="ListParagraph"/>
        <w:numPr>
          <w:ilvl w:val="0"/>
          <w:numId w:val="1"/>
        </w:numPr>
        <w:spacing w:before="70" w:after="70"/>
        <w:ind w:hanging="360" w:start="720"/>
        <w:rPr/>
      </w:pPr>
      <w:r>
        <w:rPr>
          <w:rFonts w:eastAsia="Calibri" w:cs="Calibri"/>
          <w:color w:val="4A5568"/>
          <w:sz w:val="21"/>
          <w:szCs w:val="21"/>
        </w:rPr>
        <w:t>Tier-2 model: Blend frequency and value signals. avg_order_value and credit_utilization_ratio are stronger predictors.</w:t>
      </w:r>
    </w:p>
    <w:p>
      <w:pPr>
        <w:pStyle w:val="ListParagraph"/>
        <w:numPr>
          <w:ilvl w:val="0"/>
          <w:numId w:val="1"/>
        </w:numPr>
        <w:spacing w:before="70" w:after="70"/>
        <w:ind w:hanging="360" w:start="720"/>
        <w:rPr/>
      </w:pPr>
      <w:r>
        <w:rPr>
          <w:rFonts w:eastAsia="Calibri" w:cs="Calibri"/>
          <w:color w:val="4A5568"/>
          <w:sz w:val="21"/>
          <w:szCs w:val="21"/>
        </w:rPr>
        <w:t>Tier-3 model: Heavily weight avg_order_value, payment_delay_days, outstanding_amount — bulk buyer financial health signals matter most.</w:t>
      </w:r>
    </w:p>
    <w:p>
      <w:pPr>
        <w:pStyle w:val="Normal"/>
        <w:shd w:val="clear" w:fill="FDF6EC"/>
        <w:spacing w:before="40" w:after="40"/>
        <w:ind w:start="560"/>
        <w:rPr/>
      </w:pPr>
      <w:r>
        <w:rPr>
          <w:rFonts w:eastAsia="Courier New" w:cs="Courier New" w:ascii="Courier New" w:hAnsi="Courier New"/>
          <w:color w:val="C0392B"/>
          <w:sz w:val="18"/>
          <w:szCs w:val="18"/>
        </w:rPr>
        <w:t># Train separate models per tier</w:t>
      </w:r>
    </w:p>
    <w:p>
      <w:pPr>
        <w:pStyle w:val="Normal"/>
        <w:shd w:val="clear" w:fill="FDF6EC"/>
        <w:spacing w:before="40" w:after="40"/>
        <w:ind w:start="560"/>
        <w:rPr/>
      </w:pPr>
      <w:r>
        <w:rPr>
          <w:rFonts w:eastAsia="Courier New" w:cs="Courier New" w:ascii="Courier New" w:hAnsi="Courier New"/>
          <w:color w:val="C0392B"/>
          <w:sz w:val="18"/>
          <w:szCs w:val="18"/>
        </w:rPr>
        <w:t>models = {}</w:t>
      </w:r>
    </w:p>
    <w:p>
      <w:pPr>
        <w:pStyle w:val="Normal"/>
        <w:shd w:val="clear" w:fill="FDF6EC"/>
        <w:spacing w:before="40" w:after="40"/>
        <w:ind w:start="560"/>
        <w:rPr/>
      </w:pPr>
      <w:r>
        <w:rPr>
          <w:rFonts w:eastAsia="Courier New" w:cs="Courier New" w:ascii="Courier New" w:hAnsi="Courier New"/>
          <w:color w:val="C0392B"/>
          <w:sz w:val="18"/>
          <w:szCs w:val="18"/>
        </w:rPr>
        <w:t>for tier in [1, 2, 3]:</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tier_data = df[df['city_tier'] == tier]</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X = tier_data.drop(columns=['will_churn_next_30d'])</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y = tier_data['will_churn_next_30d']</w:t>
      </w:r>
    </w:p>
    <w:p>
      <w:pPr>
        <w:pStyle w:val="Normal"/>
        <w:shd w:val="clear" w:fill="FDF6EC"/>
        <w:spacing w:before="40" w:after="40"/>
        <w:ind w:star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models[tier] = XGBClassifier(scale_pos_weight=...).fit(X, y)</w:t>
      </w:r>
    </w:p>
    <w:p>
      <w:pPr>
        <w:pStyle w:val="Normal"/>
        <w:spacing w:before="60" w:after="60"/>
        <w:rPr/>
      </w:pPr>
      <w:r>
        <w:rPr/>
      </w:r>
    </w:p>
    <w:p>
      <w:pPr>
        <w:pStyle w:val="Normal"/>
        <w:spacing w:before="280" w:after="100"/>
        <w:rPr/>
      </w:pPr>
      <w:r>
        <w:rPr>
          <w:rFonts w:eastAsia="Calibri" w:cs="Calibri"/>
          <w:b/>
          <w:bCs/>
          <w:color w:val="1A56A0"/>
          <w:sz w:val="24"/>
          <w:szCs w:val="24"/>
        </w:rPr>
        <w:t>Option C · Interaction Features in a Global Model (Supplementary)</w:t>
      </w:r>
    </w:p>
    <w:p>
      <w:pPr>
        <w:pStyle w:val="Normal"/>
        <w:spacing w:before="80" w:after="80"/>
        <w:rPr/>
      </w:pPr>
      <w:r>
        <w:rPr>
          <w:rFonts w:eastAsia="Calibri" w:cs="Calibri"/>
          <w:sz w:val="21"/>
          <w:szCs w:val="21"/>
        </w:rPr>
        <w:t>As a supplementary technique within a global model, add interaction features between city_tier and key behavioral signals. This allows a single model to learn tier-specific patterns without full model separation — useful for production simplicity:</w:t>
      </w:r>
    </w:p>
    <w:p>
      <w:pPr>
        <w:pStyle w:val="Normal"/>
        <w:shd w:val="clear" w:fill="FDF6EC"/>
        <w:spacing w:before="40" w:after="40"/>
        <w:ind w:start="560"/>
        <w:rPr/>
      </w:pPr>
      <w:r>
        <w:rPr>
          <w:rFonts w:eastAsia="Courier New" w:cs="Courier New" w:ascii="Courier New" w:hAnsi="Courier New"/>
          <w:color w:val="C0392B"/>
          <w:sz w:val="18"/>
          <w:szCs w:val="18"/>
        </w:rPr>
        <w:t># Interaction features</w:t>
      </w:r>
    </w:p>
    <w:p>
      <w:pPr>
        <w:pStyle w:val="Normal"/>
        <w:shd w:val="clear" w:fill="FDF6EC"/>
        <w:spacing w:before="40" w:after="40"/>
        <w:ind w:start="560"/>
        <w:rPr/>
      </w:pPr>
      <w:r>
        <w:rPr>
          <w:rFonts w:eastAsia="Courier New" w:cs="Courier New" w:ascii="Courier New" w:hAnsi="Courier New"/>
          <w:color w:val="C0392B"/>
          <w:sz w:val="18"/>
          <w:szCs w:val="18"/>
        </w:rPr>
        <w:t>df['tier_x_order_freq'] = df['city_tier'] * df['order_frequency_60d']</w:t>
      </w:r>
    </w:p>
    <w:p>
      <w:pPr>
        <w:pStyle w:val="Normal"/>
        <w:shd w:val="clear" w:fill="FDF6EC"/>
        <w:spacing w:before="40" w:after="40"/>
        <w:ind w:start="560"/>
        <w:rPr/>
      </w:pPr>
      <w:r>
        <w:rPr>
          <w:rFonts w:eastAsia="Courier New" w:cs="Courier New" w:ascii="Courier New" w:hAnsi="Courier New"/>
          <w:color w:val="C0392B"/>
          <w:sz w:val="18"/>
          <w:szCs w:val="18"/>
        </w:rPr>
        <w:t>df['tier_x_avg_value']  = df['city_tier'] * df['avg_order_value']</w:t>
      </w:r>
    </w:p>
    <w:p>
      <w:pPr>
        <w:pStyle w:val="Normal"/>
        <w:shd w:val="clear" w:fill="FDF6EC"/>
        <w:spacing w:before="40" w:after="40"/>
        <w:ind w:start="560"/>
        <w:rPr/>
      </w:pPr>
      <w:r>
        <w:rPr>
          <w:rFonts w:eastAsia="Courier New" w:cs="Courier New" w:ascii="Courier New" w:hAnsi="Courier New"/>
          <w:color w:val="C0392B"/>
          <w:sz w:val="18"/>
          <w:szCs w:val="18"/>
        </w:rPr>
        <w:t>df['tier_x_app_sessions'] = df['city_tier'] * df['app_sessions_30d']</w:t>
      </w:r>
    </w:p>
    <w:p>
      <w:pPr>
        <w:pStyle w:val="Normal"/>
        <w:shd w:val="clear" w:fill="FDF6EC"/>
        <w:spacing w:before="40" w:after="40"/>
        <w:ind w:start="560"/>
        <w:rPr/>
      </w:pPr>
      <w:r>
        <w:rPr>
          <w:rFonts w:eastAsia="Courier New" w:cs="Courier New" w:ascii="Courier New" w:hAnsi="Courier New"/>
          <w:color w:val="C0392B"/>
          <w:sz w:val="18"/>
          <w:szCs w:val="18"/>
        </w:rPr>
        <w:t>df['tier_x_credit_util'] = df['city_tier'] * df['credit_utilization_ratio']</w:t>
      </w:r>
    </w:p>
    <w:p>
      <w:pPr>
        <w:pStyle w:val="Normal"/>
        <w:spacing w:before="60" w:after="60"/>
        <w:rPr/>
      </w:pPr>
      <w:r>
        <w:rPr/>
      </w:r>
    </w:p>
    <w:p>
      <w:pPr>
        <w:pStyle w:val="Normal"/>
        <w:spacing w:before="280" w:after="100"/>
        <w:rPr/>
      </w:pPr>
      <w:r>
        <w:rPr>
          <w:rFonts w:eastAsia="Calibri" w:cs="Calibri"/>
          <w:b/>
          <w:bCs/>
          <w:color w:val="1A56A0"/>
          <w:sz w:val="24"/>
          <w:szCs w:val="24"/>
        </w:rPr>
        <w:t>Final Recommendation</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1A56A0"/>
              <w:start w:val="single" w:sz="24" w:space="0" w:color="1A56A0"/>
              <w:bottom w:val="single" w:sz="2" w:space="0" w:color="1A56A0"/>
            </w:tcBorders>
            <w:shd w:fill="EAF4FF" w:val="clear"/>
          </w:tcPr>
          <w:p>
            <w:pPr>
              <w:pStyle w:val="Normal"/>
              <w:spacing w:before="0" w:after="60"/>
              <w:rPr/>
            </w:pPr>
            <w:r>
              <w:rPr>
                <w:rFonts w:eastAsia="Calibri" w:cs="Calibri"/>
                <w:b/>
                <w:bCs/>
                <w:color w:val="1A56A0"/>
                <w:sz w:val="20"/>
                <w:szCs w:val="20"/>
              </w:rPr>
              <w:t>Recommended Architecture: Tier-Aware Ensemble</w:t>
            </w:r>
          </w:p>
          <w:p>
            <w:pPr>
              <w:pStyle w:val="Normal"/>
              <w:spacing w:before="0" w:after="0"/>
              <w:rPr/>
            </w:pPr>
            <w:r>
              <w:rPr>
                <w:rFonts w:eastAsia="Calibri" w:cs="Calibri"/>
                <w:i/>
                <w:iCs/>
                <w:color w:val="0D2240"/>
                <w:sz w:val="21"/>
                <w:szCs w:val="21"/>
              </w:rPr>
              <w:t>Step 1 (Data): Fix churn labels per city_tier (30/45/75 day thresholds). Step 2 (Modeling): Train separate XGBoost models per tier. Step 3 (Production): Route each pharmacy's prediction to the corresponding tier model at inference time. Step 4 (Enhancement): Add interaction features to a global fallback model for new pharmacies with no tier history. This approach maximizes Recall for Tier-3 hospitals (the CRO's primary concern) while maintaining precision for Tier-1 urban pharmacies.</w:t>
            </w:r>
          </w:p>
        </w:tc>
      </w:tr>
    </w:tbl>
    <w:p>
      <w:pPr>
        <w:pStyle w:val="Normal"/>
        <w:spacing w:before="60" w:after="60"/>
        <w:rPr/>
      </w:pPr>
      <w:r>
        <w:rPr/>
      </w:r>
    </w:p>
    <w:tbl>
      <w:tblPr>
        <w:tblW w:w="9600" w:type="dxa"/>
        <w:jc w:val="start"/>
        <w:tblInd w:w="0" w:type="dxa"/>
        <w:tblLayout w:type="fixed"/>
        <w:tblCellMar>
          <w:top w:w="80" w:type="dxa"/>
          <w:start w:w="140" w:type="dxa"/>
          <w:bottom w:w="80" w:type="dxa"/>
          <w:end w:w="140" w:type="dxa"/>
        </w:tblCellMar>
      </w:tblPr>
      <w:tblGrid>
        <w:gridCol w:w="1999"/>
        <w:gridCol w:w="2880"/>
        <w:gridCol w:w="2481"/>
        <w:gridCol w:w="2240"/>
      </w:tblGrid>
      <w:tr>
        <w:trPr/>
        <w:tc>
          <w:tcPr>
            <w:tcW w:w="1999"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Approach</w:t>
            </w:r>
          </w:p>
        </w:tc>
        <w:tc>
          <w:tcPr>
            <w:tcW w:w="288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Pros</w:t>
            </w:r>
          </w:p>
        </w:tc>
        <w:tc>
          <w:tcPr>
            <w:tcW w:w="2481"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Cons</w:t>
            </w:r>
          </w:p>
        </w:tc>
        <w:tc>
          <w:tcPr>
            <w:tcW w:w="2240" w:type="dxa"/>
            <w:tcBorders>
              <w:top w:val="single" w:sz="2" w:space="0" w:color="0D2240"/>
              <w:start w:val="single" w:sz="2" w:space="0" w:color="0D2240"/>
              <w:bottom w:val="single" w:sz="2" w:space="0" w:color="0D2240"/>
              <w:end w:val="single" w:sz="2" w:space="0" w:color="0D2240"/>
            </w:tcBorders>
            <w:shd w:fill="0D2240" w:val="clear"/>
          </w:tcPr>
          <w:p>
            <w:pPr>
              <w:pStyle w:val="Normal"/>
              <w:rPr/>
            </w:pPr>
            <w:r>
              <w:rPr>
                <w:rFonts w:eastAsia="Calibri" w:cs="Calibri"/>
                <w:b/>
                <w:bCs/>
                <w:color w:val="FFFFFF"/>
                <w:sz w:val="19"/>
                <w:szCs w:val="19"/>
              </w:rPr>
              <w:t>Verdict</w:t>
            </w:r>
          </w:p>
        </w:tc>
      </w:tr>
      <w:tr>
        <w:trPr/>
        <w:tc>
          <w:tcPr>
            <w:tcW w:w="19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One Global Model</w:t>
            </w:r>
          </w:p>
        </w:tc>
        <w:tc>
          <w:tcPr>
            <w:tcW w:w="288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Simple to maintain, single deployment</w:t>
            </w:r>
          </w:p>
        </w:tc>
        <w:tc>
          <w:tcPr>
            <w:tcW w:w="248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Tier-3 behavior drowns in Tier-1 noise; wrong churn labels poison training</w:t>
            </w:r>
          </w:p>
        </w:tc>
        <w:tc>
          <w:tcPr>
            <w:tcW w:w="224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Not recommended alone</w:t>
            </w:r>
          </w:p>
        </w:tc>
      </w:tr>
      <w:tr>
        <w:trPr/>
        <w:tc>
          <w:tcPr>
            <w:tcW w:w="19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Separate Tier Models</w:t>
            </w:r>
          </w:p>
        </w:tc>
        <w:tc>
          <w:tcPr>
            <w:tcW w:w="288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Each model fits its tier's behavioral reality; best Recall per tier</w:t>
            </w:r>
          </w:p>
        </w:tc>
        <w:tc>
          <w:tcPr>
            <w:tcW w:w="248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3x engineering effort; separate monitoring needed</w:t>
            </w:r>
          </w:p>
        </w:tc>
        <w:tc>
          <w:tcPr>
            <w:tcW w:w="224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RECOMMENDED — primary approach</w:t>
            </w:r>
          </w:p>
        </w:tc>
      </w:tr>
      <w:tr>
        <w:trPr/>
        <w:tc>
          <w:tcPr>
            <w:tcW w:w="1999"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Interaction Features</w:t>
            </w:r>
          </w:p>
        </w:tc>
        <w:tc>
          <w:tcPr>
            <w:tcW w:w="288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Single model, tier-awareness via features</w:t>
            </w:r>
          </w:p>
        </w:tc>
        <w:tc>
          <w:tcPr>
            <w:tcW w:w="2481"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Doesn't fix label mislabeling; less interpretable</w:t>
            </w:r>
          </w:p>
        </w:tc>
        <w:tc>
          <w:tcPr>
            <w:tcW w:w="2240" w:type="dxa"/>
            <w:tcBorders>
              <w:top w:val="single" w:sz="2" w:space="0" w:color="CCDDE8"/>
              <w:start w:val="single" w:sz="2" w:space="0" w:color="CCDDE8"/>
              <w:bottom w:val="single" w:sz="2" w:space="0" w:color="CCDDE8"/>
              <w:end w:val="single" w:sz="2" w:space="0" w:color="CCDDE8"/>
            </w:tcBorders>
            <w:shd w:fill="F2F6FB"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Good supplement to Option B</w:t>
            </w:r>
          </w:p>
        </w:tc>
      </w:tr>
      <w:tr>
        <w:trPr/>
        <w:tc>
          <w:tcPr>
            <w:tcW w:w="1999"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Hybrid (B + C)</w:t>
            </w:r>
          </w:p>
        </w:tc>
        <w:tc>
          <w:tcPr>
            <w:tcW w:w="288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Best of both: accuracy + simplicity</w:t>
            </w:r>
          </w:p>
        </w:tc>
        <w:tc>
          <w:tcPr>
            <w:tcW w:w="2481"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Slightly complex; requires tier routing logic</w:t>
            </w:r>
          </w:p>
        </w:tc>
        <w:tc>
          <w:tcPr>
            <w:tcW w:w="2240" w:type="dxa"/>
            <w:tcBorders>
              <w:top w:val="single" w:sz="2" w:space="0" w:color="CCDDE8"/>
              <w:start w:val="single" w:sz="2" w:space="0" w:color="CCDDE8"/>
              <w:bottom w:val="single" w:sz="2" w:space="0" w:color="CCDDE8"/>
              <w:end w:val="single" w:sz="2" w:space="0" w:color="CCDDE8"/>
            </w:tcBorders>
            <w:shd w:fill="FFFFFF" w:val="clear"/>
            <w:tcMar>
              <w:top w:w="70" w:type="dxa"/>
              <w:bottom w:w="70" w:type="dxa"/>
            </w:tcMar>
          </w:tcPr>
          <w:p>
            <w:pPr>
              <w:pStyle w:val="Normal"/>
              <w:rPr/>
            </w:pPr>
            <w:r>
              <w:rPr>
                <w:rFonts w:eastAsia="Calibri" w:cs="Calibri"/>
                <w:color w:val="0D2240"/>
                <w:sz w:val="19"/>
                <w:szCs w:val="19"/>
              </w:rPr>
              <w:t xml:space="preserve">✅✅ </w:t>
            </w:r>
            <w:r>
              <w:rPr>
                <w:rFonts w:eastAsia="Calibri" w:cs="Calibri"/>
                <w:color w:val="0D2240"/>
                <w:sz w:val="19"/>
                <w:szCs w:val="19"/>
              </w:rPr>
              <w:t>BEST — production recommendation</w:t>
            </w:r>
          </w:p>
        </w:tc>
      </w:tr>
    </w:tbl>
    <w:p>
      <w:pPr>
        <w:pStyle w:val="Normal"/>
        <w:spacing w:before="60" w:after="60"/>
        <w:rPr/>
      </w:pPr>
      <w:r>
        <w:rPr/>
      </w:r>
    </w:p>
    <w:p>
      <w:pPr>
        <w:pStyle w:val="Normal"/>
        <w:spacing w:before="60" w:after="60"/>
        <w:rPr/>
      </w:pPr>
      <w:r>
        <w:rPr/>
      </w:r>
    </w:p>
    <w:p>
      <w:pPr>
        <w:pStyle w:val="Normal"/>
        <w:spacing w:before="60" w:after="60"/>
        <w:rPr/>
      </w:pPr>
      <w:r>
        <w:rPr/>
      </w:r>
    </w:p>
    <w:p>
      <w:pPr>
        <w:pStyle w:val="Normal"/>
        <w:pBdr>
          <w:top w:val="single" w:sz="4" w:space="1" w:color="E8EDF3"/>
        </w:pBdr>
        <w:spacing w:before="400" w:after="0"/>
        <w:jc w:val="center"/>
        <w:rPr>
          <w:rFonts w:ascii="Calibri" w:hAnsi="Calibri" w:eastAsia="Calibri" w:cs="Calibri"/>
          <w:i/>
          <w:iCs/>
          <w:color w:val="718096"/>
          <w:sz w:val="17"/>
          <w:szCs w:val="17"/>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Courier New">
    <w:charset w:val="00" w:characterSet="windows-1252"/>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color w:val="C85A00"/>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3</Pages>
  <Words>1732</Words>
  <Characters>10675</Characters>
  <CharactersWithSpaces>12304</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2026-03-26T10:07:32Z</dcterms:created>
  <dc:creator>Un-named</dc:creator>
  <dc:description/>
  <dc:language>en-IN</dc:language>
  <cp:lastModifiedBy/>
  <dcterms:modified xsi:type="dcterms:W3CDTF">2026-03-26T15:42:44Z</dcterms:modified>
  <cp:revision>2</cp:revision>
  <dc:subject/>
  <dc:title/>
</cp:coreProperties>
</file>