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MLY0100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Conceptos de Algebra Lineal y su uso en Machine Learning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RA1 Aplica Machine Learning en problemáticas reales en contraste con otras soluciones tradicionales, siguiendo una metodología de trabajo, estándarizada en la industria. 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RA2 Realiza análisis exploratorio y preparación de datos, de acuerdo a las características del dataset y del contexto del negocio.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2.2 Elabora documentación del proceso comparando los resultados obtenidos a partir de la información del caso y de los datos.</w:t>
            </w:r>
          </w:p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2.4 Aplica elementos de estadísticas descriptivas para realizar análisis exploratorios complementando el significado y distribución de los datos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La actividad, tiene como fin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revisar conceptos y ser capaz de relacionar la aplicación de álgebra lineal en ML, entendiendo lo fundamental de la matemática en dicha ciencia.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2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000000"/>
          <w:rtl w:val="0"/>
        </w:rPr>
        <w:t xml:space="preserve">A partir de las presentaciones en clases realizadas por el profesor, se revisará un Notebook de Python, con ejemplos de Algebra Lineal.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2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Para realizar esta actividad, se deben seguir las instrucciones del Notebook Python y responder las preguntas que se encuentran en él.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Luego, las respuestas serán discutidas con el grupo curso.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4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1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oZWGRnu+7/jwUm8vyZsyxtv/Kw==">CgMxLjA4AHIhMVJ0MEpxWlllb19TMlJ4c2FONlFVaGxhckhIaGt5Vk14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